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3174" w:rsidRDefault="00C53174" w:rsidP="00C53174">
      <w:pPr>
        <w:pStyle w:val="TOC1"/>
        <w:jc w:val="center"/>
      </w:pPr>
      <w:r>
        <w:t>Exhibit J – ADDITIONAL TERMS</w:t>
      </w:r>
    </w:p>
    <w:p w:rsidR="00C53174" w:rsidRDefault="00C53174" w:rsidP="00C53174">
      <w:pPr>
        <w:jc w:val="center"/>
      </w:pPr>
    </w:p>
    <w:p w:rsidR="00C53174" w:rsidRDefault="00C53174" w:rsidP="00C53174">
      <w:pPr>
        <w:jc w:val="center"/>
      </w:pPr>
      <w:r>
        <w:t>The Parties agree to comply with the provisions of this Exhibit J, which shall be incorporated into the Contract by reference.</w:t>
      </w:r>
    </w:p>
    <w:p w:rsidR="00C53174" w:rsidRDefault="00C53174" w:rsidP="00C53174"/>
    <w:p w:rsidR="00C53174" w:rsidRDefault="00C53174" w:rsidP="00C53174">
      <w:pPr>
        <w:spacing w:after="0"/>
        <w:rPr>
          <w:rFonts w:ascii="Times New Roman" w:eastAsia="Times New Roman" w:hAnsi="Times New Roman" w:cs="Times New Roman"/>
          <w:sz w:val="18"/>
          <w:szCs w:val="24"/>
        </w:rPr>
      </w:pPr>
    </w:p>
    <w:p w:rsidR="00C53174" w:rsidRDefault="00C53174" w:rsidP="00C53174">
      <w:pPr>
        <w:pStyle w:val="ListParagraph"/>
        <w:widowControl/>
        <w:autoSpaceDE/>
        <w:autoSpaceDN/>
        <w:adjustRightInd/>
        <w:spacing w:after="0" w:line="264" w:lineRule="auto"/>
        <w:ind w:left="972"/>
        <w:contextualSpacing/>
        <w:rPr>
          <w:rFonts w:ascii="Times New Roman" w:hAnsi="Times New Roman" w:cs="Times New Roman"/>
          <w:sz w:val="18"/>
          <w:szCs w:val="24"/>
          <w:lang w:eastAsia="en-US"/>
        </w:rPr>
      </w:pPr>
      <w:r>
        <w:rPr>
          <w:rFonts w:ascii="Times New Roman" w:hAnsi="Times New Roman" w:cs="Times New Roman"/>
          <w:sz w:val="18"/>
          <w:szCs w:val="24"/>
          <w:lang w:eastAsia="en-US"/>
        </w:rPr>
        <w:t xml:space="preserve">  </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color w:val="000000"/>
          <w:sz w:val="18"/>
          <w:szCs w:val="24"/>
          <w:shd w:val="clear" w:color="auto" w:fill="000000"/>
        </w:rPr>
      </w:pPr>
      <w:r>
        <w:rPr>
          <w:rFonts w:ascii="Times New Roman" w:hAnsi="Times New Roman" w:cs="Times New Roman"/>
          <w:b/>
          <w:sz w:val="18"/>
          <w:szCs w:val="24"/>
        </w:rPr>
        <w:t>Ordering</w:t>
      </w:r>
      <w:r>
        <w:rPr>
          <w:rFonts w:ascii="Times New Roman" w:hAnsi="Times New Roman" w:cs="Times New Roman"/>
          <w:b/>
          <w:sz w:val="18"/>
          <w:szCs w:val="24"/>
          <w:lang w:eastAsia="en-US"/>
        </w:rPr>
        <w:t>,</w:t>
      </w:r>
      <w:r>
        <w:rPr>
          <w:rFonts w:ascii="Times New Roman" w:hAnsi="Times New Roman" w:cs="Times New Roman"/>
          <w:b/>
          <w:sz w:val="18"/>
          <w:szCs w:val="24"/>
        </w:rPr>
        <w:t xml:space="preserve"> Services</w:t>
      </w:r>
      <w:r>
        <w:rPr>
          <w:rFonts w:ascii="Times New Roman" w:hAnsi="Times New Roman" w:cs="Times New Roman"/>
          <w:b/>
          <w:sz w:val="18"/>
          <w:szCs w:val="24"/>
          <w:lang w:eastAsia="en-US"/>
        </w:rPr>
        <w:t xml:space="preserve"> and License Grant</w:t>
      </w:r>
      <w:r>
        <w:rPr>
          <w:rFonts w:ascii="Times New Roman" w:hAnsi="Times New Roman" w:cs="Times New Roman"/>
          <w:b/>
          <w:sz w:val="18"/>
          <w:szCs w:val="24"/>
        </w:rPr>
        <w: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sz w:val="18"/>
          <w:szCs w:val="24"/>
          <w:lang w:eastAsia="en-US"/>
        </w:rPr>
      </w:pPr>
      <w:r>
        <w:rPr>
          <w:rFonts w:ascii="Times New Roman" w:hAnsi="Times New Roman" w:cs="Times New Roman"/>
          <w:sz w:val="18"/>
          <w:szCs w:val="24"/>
          <w:lang w:eastAsia="en-US"/>
        </w:rPr>
        <w:t xml:space="preserve">VITA </w:t>
      </w:r>
      <w:r>
        <w:rPr>
          <w:rFonts w:ascii="Times New Roman" w:hAnsi="Times New Roman" w:cs="Times New Roman"/>
          <w:sz w:val="18"/>
          <w:szCs w:val="24"/>
        </w:rPr>
        <w:t>shall order Services by mutual execution of an</w:t>
      </w:r>
      <w:r>
        <w:rPr>
          <w:rFonts w:ascii="Times New Roman" w:hAnsi="Times New Roman" w:cs="Times New Roman"/>
          <w:sz w:val="18"/>
        </w:rPr>
        <w:t xml:space="preserve"> Order and/or SOW</w:t>
      </w:r>
      <w:r>
        <w:rPr>
          <w:rFonts w:ascii="Times New Roman" w:hAnsi="Times New Roman" w:cs="Times New Roman"/>
          <w:sz w:val="18"/>
          <w:szCs w:val="24"/>
        </w:rPr>
        <w:t xml:space="preserve"> which provides, at a minimum, the specific Services ordered and the price for such Services and the term for any Licensed Services. Authorized Users of VITA may also order Services under this Contract by mutual execution of an Order and/or SOW. The Order and/or SOW shall be incorporated into this Contract by reference and in the event of a conflict between the terms of an Order and/or SOW and this Contract, the terms of the Order and/or SOW shall prevail.  </w:t>
      </w:r>
      <w:r>
        <w:rPr>
          <w:rFonts w:ascii="Times New Roman" w:hAnsi="Times New Roman" w:cs="Times New Roman"/>
          <w:sz w:val="18"/>
          <w:szCs w:val="24"/>
          <w:lang w:eastAsia="en-US"/>
        </w:rPr>
        <w:t>Additional Services ordered in any subsequent Orders</w:t>
      </w:r>
      <w:r>
        <w:rPr>
          <w:rFonts w:ascii="Times New Roman" w:hAnsi="Times New Roman" w:cs="Times New Roman"/>
          <w:sz w:val="18"/>
          <w:szCs w:val="24"/>
        </w:rPr>
        <w:t xml:space="preserve"> and/or SOWs</w:t>
      </w:r>
      <w:r>
        <w:rPr>
          <w:rFonts w:ascii="Times New Roman" w:hAnsi="Times New Roman" w:cs="Times New Roman"/>
          <w:sz w:val="18"/>
          <w:szCs w:val="24"/>
          <w:lang w:eastAsia="en-US"/>
        </w:rPr>
        <w:t xml:space="preserve"> shall be governed by, and incorporated by reference into this Contract.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sz w:val="18"/>
          <w:szCs w:val="24"/>
          <w:lang w:eastAsia="en-US"/>
        </w:rPr>
      </w:pPr>
      <w:r>
        <w:rPr>
          <w:rFonts w:ascii="Times New Roman" w:hAnsi="Times New Roman" w:cs="Times New Roman"/>
          <w:sz w:val="18"/>
          <w:szCs w:val="24"/>
          <w:lang w:eastAsia="en-US"/>
        </w:rPr>
        <w:t>Subject to the terms of this Contract, Supplier hereby grants to VITA a license during the applicable subscription term identified in the applicable Order to allow Authorized Users to access and use the features and functions of the Supplier Services via a browser or the Supplier mobile application for VITA’s internal business use.</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sz w:val="18"/>
          <w:szCs w:val="24"/>
          <w:lang w:eastAsia="en-US"/>
        </w:rPr>
      </w:pPr>
      <w:r>
        <w:rPr>
          <w:rFonts w:ascii="Times New Roman" w:hAnsi="Times New Roman" w:cs="Times New Roman"/>
          <w:sz w:val="18"/>
          <w:szCs w:val="24"/>
          <w:lang w:eastAsia="en-US"/>
        </w:rPr>
        <w:t>VITA hereby grants Supplier permission during the Term to (</w:t>
      </w:r>
      <w:proofErr w:type="spellStart"/>
      <w:r>
        <w:rPr>
          <w:rFonts w:ascii="Times New Roman" w:hAnsi="Times New Roman" w:cs="Times New Roman"/>
          <w:sz w:val="18"/>
          <w:szCs w:val="24"/>
          <w:lang w:eastAsia="en-US"/>
        </w:rPr>
        <w:t>i</w:t>
      </w:r>
      <w:proofErr w:type="spellEnd"/>
      <w:r>
        <w:rPr>
          <w:rFonts w:ascii="Times New Roman" w:hAnsi="Times New Roman" w:cs="Times New Roman"/>
          <w:sz w:val="18"/>
          <w:szCs w:val="24"/>
          <w:lang w:eastAsia="en-US"/>
        </w:rPr>
        <w:t>) process, reproduce, distribute and/or display Content to Authorized Users and End Users in connection with providing the Licensed Services on behalf of VITA, and (ii) to access and use the Responses to provide the Services.</w:t>
      </w:r>
    </w:p>
    <w:p w:rsidR="00C53174" w:rsidRDefault="00C53174" w:rsidP="00C53174">
      <w:pPr>
        <w:pStyle w:val="ListParagraph"/>
        <w:widowControl/>
        <w:autoSpaceDE/>
        <w:autoSpaceDN/>
        <w:adjustRightInd/>
        <w:spacing w:after="0" w:line="264" w:lineRule="auto"/>
        <w:ind w:left="972"/>
        <w:contextualSpacing/>
        <w:rPr>
          <w:rFonts w:ascii="Times New Roman" w:hAnsi="Times New Roman" w:cs="Times New Roman"/>
          <w:sz w:val="18"/>
          <w:szCs w:val="24"/>
          <w:lang w:eastAsia="en-US"/>
        </w:rPr>
      </w:pPr>
      <w:r>
        <w:rPr>
          <w:rFonts w:ascii="Times New Roman" w:hAnsi="Times New Roman" w:cs="Times New Roman"/>
          <w:sz w:val="18"/>
          <w:szCs w:val="24"/>
          <w:lang w:eastAsia="en-US"/>
        </w:rPr>
        <w:t xml:space="preserve">  </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b/>
          <w:sz w:val="18"/>
          <w:szCs w:val="24"/>
          <w:lang w:eastAsia="en-US"/>
        </w:rPr>
      </w:pPr>
      <w:r>
        <w:rPr>
          <w:rFonts w:ascii="Times New Roman" w:hAnsi="Times New Roman" w:cs="Times New Roman"/>
          <w:b/>
          <w:sz w:val="18"/>
          <w:szCs w:val="24"/>
          <w:lang w:eastAsia="en-US"/>
        </w:rPr>
        <w:t>Fees and Payment.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rPr>
      </w:pPr>
      <w:r>
        <w:rPr>
          <w:rFonts w:ascii="Times New Roman" w:hAnsi="Times New Roman" w:cs="Times New Roman"/>
          <w:sz w:val="18"/>
          <w:szCs w:val="24"/>
        </w:rPr>
        <w:t xml:space="preserve">Fees for Licensed Services are based on the scope defined in the applicable Order and/or SOW.  Upon request, VITA agrees to provide Supplier with information reasonably necessary for Supplier to confirm Buyer’s usage aligns with the scope purchased under an Order and/or SOW (for example, Supplier may request a report or other written confirmation of the number of hires for a particular period).  In the event VITA materially exceeds the scope purchased under an Order and/or SOW, Supplier reserves the right to request, and VITA agrees in good faith, to negotiate an increase in scope to align with projected usage for the remaining term.  </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rPr>
      </w:pPr>
      <w:r>
        <w:rPr>
          <w:rFonts w:ascii="Times New Roman" w:hAnsi="Times New Roman" w:cs="Times New Roman"/>
          <w:sz w:val="18"/>
          <w:szCs w:val="24"/>
        </w:rPr>
        <w:t>Unless otherwise stated in an Order, Supplier’s fees do not include any taxes, levies, duties or similar governmental assessments of any nature, including but not limited to value-added, sales and use, or withholding taxes, assessable by any local, state, provincial, federal or foreign jurisdiction (collectively, “</w:t>
      </w:r>
      <w:r>
        <w:rPr>
          <w:rFonts w:ascii="Times New Roman" w:hAnsi="Times New Roman" w:cs="Times New Roman"/>
          <w:sz w:val="18"/>
          <w:szCs w:val="24"/>
          <w:u w:val="single"/>
        </w:rPr>
        <w:t>Taxes</w:t>
      </w:r>
      <w:r>
        <w:rPr>
          <w:rFonts w:ascii="Times New Roman" w:hAnsi="Times New Roman" w:cs="Times New Roman"/>
          <w:sz w:val="18"/>
          <w:szCs w:val="24"/>
        </w:rPr>
        <w:t xml:space="preserve">”).  </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
          <w:sz w:val="18"/>
          <w:szCs w:val="24"/>
          <w:lang w:eastAsia="en-US"/>
        </w:rPr>
        <w:t>Termination and Expiration of Contract and Renewal.</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rPr>
        <w:t xml:space="preserve">Upon any expiration or termination of the Contract, </w:t>
      </w:r>
      <w:r>
        <w:rPr>
          <w:rFonts w:ascii="Times New Roman" w:hAnsi="Times New Roman" w:cs="Times New Roman"/>
          <w:sz w:val="18"/>
          <w:szCs w:val="24"/>
          <w:lang w:eastAsia="en-US"/>
        </w:rPr>
        <w:t xml:space="preserve">VITA and/or its Authorized Users </w:t>
      </w:r>
      <w:r>
        <w:rPr>
          <w:rFonts w:ascii="Times New Roman" w:hAnsi="Times New Roman" w:cs="Times New Roman"/>
          <w:sz w:val="18"/>
          <w:szCs w:val="24"/>
        </w:rPr>
        <w:t xml:space="preserve">will cease all use of the Services and destroy all copies Documentation (if any) that are in their possession or under their control.  Upon termination or expiration of the Contract, </w:t>
      </w:r>
      <w:r>
        <w:rPr>
          <w:rFonts w:ascii="Times New Roman" w:hAnsi="Times New Roman" w:cs="Times New Roman"/>
          <w:sz w:val="18"/>
          <w:szCs w:val="24"/>
          <w:lang w:eastAsia="en-US"/>
        </w:rPr>
        <w:t xml:space="preserve">VITA and/or its Authorized Users </w:t>
      </w:r>
      <w:r>
        <w:rPr>
          <w:rFonts w:ascii="Times New Roman" w:hAnsi="Times New Roman" w:cs="Times New Roman"/>
          <w:sz w:val="18"/>
          <w:szCs w:val="24"/>
        </w:rPr>
        <w:t xml:space="preserve">shall have the following options with regard to </w:t>
      </w:r>
      <w:r>
        <w:rPr>
          <w:rFonts w:ascii="Times New Roman" w:hAnsi="Times New Roman" w:cs="Times New Roman"/>
          <w:sz w:val="18"/>
          <w:szCs w:val="24"/>
          <w:lang w:eastAsia="en-US"/>
        </w:rPr>
        <w:t>Content</w:t>
      </w:r>
      <w:r>
        <w:rPr>
          <w:rFonts w:ascii="Times New Roman" w:hAnsi="Times New Roman" w:cs="Times New Roman"/>
          <w:sz w:val="18"/>
          <w:szCs w:val="24"/>
        </w:rPr>
        <w:t xml:space="preserve"> related to each of the terminated or expired Services:  1) if VITA </w:t>
      </w:r>
      <w:r>
        <w:rPr>
          <w:rFonts w:ascii="Times New Roman" w:hAnsi="Times New Roman" w:cs="Times New Roman"/>
          <w:sz w:val="18"/>
          <w:szCs w:val="24"/>
          <w:lang w:eastAsia="en-US"/>
        </w:rPr>
        <w:t xml:space="preserve">and/or its Authorized Users </w:t>
      </w:r>
      <w:r>
        <w:rPr>
          <w:rFonts w:ascii="Times New Roman" w:hAnsi="Times New Roman" w:cs="Times New Roman"/>
          <w:sz w:val="18"/>
          <w:szCs w:val="24"/>
        </w:rPr>
        <w:t xml:space="preserve">requests in writing, on or prior to the date of such termination or expiration,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provide </w:t>
      </w:r>
      <w:r>
        <w:rPr>
          <w:rFonts w:ascii="Times New Roman" w:hAnsi="Times New Roman" w:cs="Times New Roman"/>
          <w:sz w:val="18"/>
          <w:szCs w:val="24"/>
          <w:lang w:eastAsia="en-US"/>
        </w:rPr>
        <w:t xml:space="preserve">VITA and/or its Authorized Users </w:t>
      </w:r>
      <w:r>
        <w:rPr>
          <w:rFonts w:ascii="Times New Roman" w:hAnsi="Times New Roman" w:cs="Times New Roman"/>
          <w:sz w:val="18"/>
          <w:szCs w:val="24"/>
        </w:rPr>
        <w:t xml:space="preserve">with a copy of the </w:t>
      </w:r>
      <w:r>
        <w:rPr>
          <w:rFonts w:ascii="Times New Roman" w:hAnsi="Times New Roman" w:cs="Times New Roman"/>
          <w:sz w:val="18"/>
          <w:szCs w:val="24"/>
          <w:lang w:eastAsia="en-US"/>
        </w:rPr>
        <w:t>Content</w:t>
      </w:r>
      <w:r>
        <w:rPr>
          <w:rFonts w:ascii="Times New Roman" w:hAnsi="Times New Roman" w:cs="Times New Roman"/>
          <w:sz w:val="18"/>
          <w:szCs w:val="24"/>
        </w:rPr>
        <w:t xml:space="preserve"> stored on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servers, and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then delete all </w:t>
      </w:r>
      <w:r>
        <w:rPr>
          <w:rFonts w:ascii="Times New Roman" w:hAnsi="Times New Roman" w:cs="Times New Roman"/>
          <w:sz w:val="18"/>
          <w:szCs w:val="24"/>
          <w:lang w:eastAsia="en-US"/>
        </w:rPr>
        <w:t>Content</w:t>
      </w:r>
      <w:r>
        <w:rPr>
          <w:rFonts w:ascii="Times New Roman" w:hAnsi="Times New Roman" w:cs="Times New Roman"/>
          <w:sz w:val="18"/>
          <w:szCs w:val="24"/>
        </w:rPr>
        <w:t xml:space="preserve"> from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servers; or 2)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purge </w:t>
      </w:r>
      <w:r>
        <w:rPr>
          <w:rFonts w:ascii="Times New Roman" w:hAnsi="Times New Roman" w:cs="Times New Roman"/>
          <w:sz w:val="18"/>
          <w:szCs w:val="24"/>
          <w:lang w:eastAsia="en-US"/>
        </w:rPr>
        <w:t>Content</w:t>
      </w:r>
      <w:r>
        <w:rPr>
          <w:rFonts w:ascii="Times New Roman" w:hAnsi="Times New Roman" w:cs="Times New Roman"/>
          <w:sz w:val="18"/>
          <w:szCs w:val="24"/>
        </w:rPr>
        <w:t xml:space="preserve"> from the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servers.  Thirty (30) days from the expiration or termination of the Contract,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have no further responsibility to retain copies of Content.  </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222222"/>
          <w:sz w:val="18"/>
          <w:szCs w:val="18"/>
          <w:shd w:val="clear" w:color="auto" w:fill="FFFFFF"/>
        </w:rPr>
      </w:pPr>
      <w:r>
        <w:rPr>
          <w:rFonts w:ascii="Times New Roman" w:hAnsi="Times New Roman" w:cs="Times New Roman"/>
          <w:sz w:val="18"/>
          <w:szCs w:val="18"/>
        </w:rPr>
        <w:t>Renewal of Licensed Services.  Unless otherwise specified on an Order the following renewal terms shall apply to Licensed Services.</w:t>
      </w:r>
    </w:p>
    <w:p w:rsidR="00C53174" w:rsidRDefault="00C53174" w:rsidP="00C53174">
      <w:pPr>
        <w:pStyle w:val="ListParagraph"/>
        <w:widowControl/>
        <w:autoSpaceDE/>
        <w:autoSpaceDN/>
        <w:adjustRightInd/>
        <w:spacing w:after="0" w:line="264" w:lineRule="auto"/>
        <w:ind w:left="972"/>
        <w:contextualSpacing/>
        <w:rPr>
          <w:rFonts w:ascii="Times New Roman" w:hAnsi="Times New Roman" w:cs="Times New Roman"/>
          <w:sz w:val="18"/>
          <w:szCs w:val="18"/>
          <w:shd w:val="clear" w:color="auto" w:fill="FFFFFF"/>
        </w:rPr>
      </w:pPr>
      <w:r>
        <w:rPr>
          <w:rFonts w:ascii="Times New Roman" w:hAnsi="Times New Roman" w:cs="Times New Roman"/>
          <w:sz w:val="18"/>
          <w:szCs w:val="18"/>
        </w:rPr>
        <w:t>A.</w:t>
      </w:r>
      <w:r>
        <w:rPr>
          <w:rFonts w:ascii="Times New Roman" w:hAnsi="Times New Roman" w:cs="Times New Roman"/>
          <w:sz w:val="18"/>
          <w:szCs w:val="18"/>
          <w:shd w:val="clear" w:color="auto" w:fill="FFFFFF"/>
        </w:rPr>
        <w:tab/>
        <w:t xml:space="preserve">If VITA’s Licensed Services fees are $30,000 per year or greater, the following renewal terms shall apply (unless otherwise notified by Supplier in writing): </w:t>
      </w:r>
      <w:r>
        <w:rPr>
          <w:rFonts w:ascii="Times New Roman" w:hAnsi="Times New Roman" w:cs="Times New Roman"/>
          <w:sz w:val="18"/>
          <w:szCs w:val="18"/>
        </w:rPr>
        <w:t xml:space="preserve">Unless otherwise stated in an Order, the term for provision of Licensed Services under an Order shall automatically renew for additional renewal terms of the same length as the most recent term if the price and scope of Services for the renewal term are unchanged unless </w:t>
      </w:r>
      <w:r>
        <w:rPr>
          <w:rFonts w:ascii="Times New Roman" w:hAnsi="Times New Roman" w:cs="Times New Roman"/>
          <w:sz w:val="18"/>
          <w:szCs w:val="18"/>
          <w:shd w:val="clear" w:color="auto" w:fill="FFFFFF"/>
        </w:rPr>
        <w:t xml:space="preserve">VITA </w:t>
      </w:r>
      <w:r>
        <w:rPr>
          <w:rFonts w:ascii="Times New Roman" w:hAnsi="Times New Roman" w:cs="Times New Roman"/>
          <w:sz w:val="18"/>
          <w:szCs w:val="18"/>
        </w:rPr>
        <w:t xml:space="preserve">provides Supplier written notice of its intent not to renew at least sixty (60) days prior to the end of the then current subscription term (the “Renewal Notice Date”).  If the price or scope of Services for the renewal term are different, or if the most recent term was for less than twelve (12) months, then mutual written agreement of the parties shall be required for any renewal.  </w:t>
      </w:r>
    </w:p>
    <w:p w:rsidR="00C53174" w:rsidRDefault="00C53174" w:rsidP="00C53174">
      <w:pPr>
        <w:pStyle w:val="ListParagraph"/>
        <w:widowControl/>
        <w:autoSpaceDE/>
        <w:autoSpaceDN/>
        <w:adjustRightInd/>
        <w:spacing w:after="0" w:line="264" w:lineRule="auto"/>
        <w:ind w:left="972"/>
        <w:contextualSpacing/>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ab/>
      </w:r>
    </w:p>
    <w:p w:rsidR="00C53174" w:rsidRDefault="00C53174" w:rsidP="00C53174">
      <w:pPr>
        <w:pStyle w:val="ListParagraph"/>
        <w:widowControl/>
        <w:autoSpaceDE/>
        <w:autoSpaceDN/>
        <w:adjustRightInd/>
        <w:spacing w:after="0" w:line="264" w:lineRule="auto"/>
        <w:ind w:left="972"/>
        <w:contextualSpacing/>
        <w:rPr>
          <w:rFonts w:ascii="Times New Roman" w:hAnsi="Times New Roman" w:cs="Times New Roman"/>
          <w:sz w:val="18"/>
          <w:szCs w:val="18"/>
          <w:shd w:val="clear" w:color="auto" w:fill="FFFFFF"/>
        </w:rPr>
      </w:pPr>
      <w:r>
        <w:rPr>
          <w:rFonts w:ascii="Times New Roman" w:hAnsi="Times New Roman" w:cs="Times New Roman"/>
          <w:sz w:val="18"/>
          <w:szCs w:val="18"/>
          <w:shd w:val="clear" w:color="auto" w:fill="FFFFFF"/>
        </w:rPr>
        <w:t>B.</w:t>
      </w:r>
      <w:r>
        <w:rPr>
          <w:rFonts w:ascii="Times New Roman" w:hAnsi="Times New Roman" w:cs="Times New Roman"/>
          <w:sz w:val="18"/>
          <w:szCs w:val="18"/>
          <w:shd w:val="clear" w:color="auto" w:fill="FFFFFF"/>
        </w:rPr>
        <w:tab/>
        <w:t xml:space="preserve">Timely notice of non-renewal must be sent to </w:t>
      </w:r>
      <w:hyperlink r:id="rId5" w:history="1">
        <w:r>
          <w:rPr>
            <w:rStyle w:val="Hyperlink"/>
            <w:rFonts w:ascii="Times New Roman" w:hAnsi="Times New Roman" w:cs="Times New Roman"/>
            <w:sz w:val="18"/>
            <w:szCs w:val="18"/>
            <w:shd w:val="clear" w:color="auto" w:fill="FFFFFF"/>
          </w:rPr>
          <w:t>renewals@hirevue.com</w:t>
        </w:r>
      </w:hyperlink>
      <w:r>
        <w:rPr>
          <w:rFonts w:ascii="Times New Roman" w:hAnsi="Times New Roman" w:cs="Times New Roman"/>
          <w:sz w:val="18"/>
          <w:szCs w:val="18"/>
          <w:shd w:val="clear" w:color="auto" w:fill="FFFFFF"/>
        </w:rPr>
        <w:t xml:space="preserve"> in addition to the notice requirements set forth in Section 33.R of the base Contract.  Failure to deliver timely, clear and unambiguous notice of non-renewal on or before the Renewal Notice Date shall result in a renewal upon the terms set forth in this Section 4.2.  </w:t>
      </w:r>
      <w:r>
        <w:rPr>
          <w:rFonts w:ascii="Times New Roman" w:hAnsi="Times New Roman" w:cs="Times New Roman"/>
          <w:sz w:val="18"/>
          <w:szCs w:val="18"/>
          <w:shd w:val="clear" w:color="auto" w:fill="FFFFFF"/>
        </w:rPr>
        <w:lastRenderedPageBreak/>
        <w:t>Invoices will be generated in accordance with the applicable renewal election, and will be due and payable in accordance with Section 18.A of the base Contract.</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
          <w:sz w:val="18"/>
          <w:szCs w:val="24"/>
          <w:lang w:eastAsia="en-US"/>
        </w:rPr>
        <w:t>VITA’s Responsibilities.</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understands and acknowledges that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is solely a technology platform provider and does not participate in the interview, selection, or hiring of candidates.  Accordingly, it is VITA’s sole responsibility to comply with all laws applicable to VITA’s use of the Service, including without limitation all applicable employment and hiring laws and regulations.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have no liability related to </w:t>
      </w:r>
      <w:r>
        <w:rPr>
          <w:rFonts w:ascii="Times New Roman" w:hAnsi="Times New Roman" w:cs="Times New Roman"/>
          <w:sz w:val="18"/>
          <w:szCs w:val="24"/>
          <w:lang w:eastAsia="en-US"/>
        </w:rPr>
        <w:t xml:space="preserve">Content </w:t>
      </w:r>
      <w:r>
        <w:rPr>
          <w:rFonts w:ascii="Times New Roman" w:hAnsi="Times New Roman" w:cs="Times New Roman"/>
          <w:sz w:val="18"/>
          <w:szCs w:val="24"/>
        </w:rPr>
        <w:t>presented to VITA’s Authorized Users or End Users (other than the obligation to display such Content as instructed by VITA and to retain Content during the Term for the retention window specified by VITA), or for VITA’s record keeping obligations unless expressly assumed by Supplier pursuant to this Contract.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is responsible for providing and maintaining adequate facilities, computer equipment, internet connections, connectivity and firewall access required for the use of the Services. Such technical requirements can be viewed at </w:t>
      </w:r>
      <w:hyperlink r:id="rId6" w:history="1">
        <w:r>
          <w:rPr>
            <w:rStyle w:val="Hyperlink"/>
            <w:rFonts w:ascii="Times New Roman" w:hAnsi="Times New Roman" w:cs="Times New Roman"/>
            <w:sz w:val="18"/>
            <w:szCs w:val="24"/>
          </w:rPr>
          <w:t>http://hir.vu/15S5OOH</w:t>
        </w:r>
      </w:hyperlink>
      <w:r>
        <w:rPr>
          <w:rFonts w:ascii="Times New Roman" w:hAnsi="Times New Roman" w:cs="Times New Roman"/>
          <w:sz w:val="18"/>
          <w:szCs w:val="24"/>
        </w:rPr>
        <w: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rPr>
        <w:t>Supplier Licensed Services include the ability for an End User to request additional time to complete a video interview and include a screen whereby VITA may present an End User with instructions for requesting other accommodations.  In order for Supplier to take any action other than offering additional time requested by the End User via the Licensed Services, VITA must provide Supplier with End User facing instructions for the End User to request accommodations (other than additional time) for inclusion in the Services and either (</w:t>
      </w:r>
      <w:proofErr w:type="spellStart"/>
      <w:r>
        <w:rPr>
          <w:rFonts w:ascii="Times New Roman" w:hAnsi="Times New Roman" w:cs="Times New Roman"/>
          <w:sz w:val="18"/>
          <w:szCs w:val="24"/>
        </w:rPr>
        <w:t>i</w:t>
      </w:r>
      <w:proofErr w:type="spellEnd"/>
      <w:r>
        <w:rPr>
          <w:rFonts w:ascii="Times New Roman" w:hAnsi="Times New Roman" w:cs="Times New Roman"/>
          <w:sz w:val="18"/>
          <w:szCs w:val="24"/>
        </w:rPr>
        <w:t xml:space="preserve">) the End User must inform Supplier that they require an alternative accommodation via the Services; or (ii) VITA must inform Supplier that such End User requires accommodations available in the Services.  In all other cases, VITA is responsible for providing all accommodations to an End User.  </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Cs/>
          <w:sz w:val="18"/>
          <w:szCs w:val="18"/>
        </w:rPr>
        <w:t>While the Application contains a mechanism for collecting consent from End Users, VITA shall be responsible for establishing the legal basis for the processing of data pertaining to Authorized Users and End Users for purposes of the Services.  VITA shall also be responsible for providing Supplier with a legally sufficient privacy notice to present to VITA’s End Users prior to End Users’ access to the Services.</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lang w:eastAsia="en-US"/>
        </w:rPr>
        <w:t xml:space="preserve">Supplier is not designed to be VITA’s system of record for VITA’s PHI, SPI or Special Categories of Data (as defined below).  Therefore, VITA </w:t>
      </w:r>
      <w:r>
        <w:rPr>
          <w:rFonts w:ascii="Times New Roman" w:hAnsi="Times New Roman" w:cs="Times New Roman"/>
          <w:sz w:val="18"/>
          <w:szCs w:val="24"/>
        </w:rPr>
        <w:t xml:space="preserve">agrees not to directly or indirectly provide Supplier with PHI, SPI or Special Categories of Data absent Supplier’s express prior written approval.  Should VITA become aware that any PHI, SPI or special categories of data have been provided to without Supplier’s approval,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agrees to promptly notify </w:t>
      </w:r>
      <w:r>
        <w:rPr>
          <w:rFonts w:ascii="Times New Roman" w:hAnsi="Times New Roman" w:cs="Times New Roman"/>
          <w:sz w:val="18"/>
          <w:szCs w:val="24"/>
          <w:lang w:eastAsia="en-US"/>
        </w:rPr>
        <w:t xml:space="preserve">Supplier </w:t>
      </w:r>
      <w:r>
        <w:rPr>
          <w:rFonts w:ascii="Times New Roman" w:hAnsi="Times New Roman" w:cs="Times New Roman"/>
          <w:sz w:val="18"/>
          <w:szCs w:val="24"/>
        </w:rPr>
        <w:t>and request redaction of such information from the Response or deletion of the Response where redaction is not feasible. As used herein PHI means health information as regulated under any applicable laws.  SPI means sensitive personal information consisting of date of birth, social security number (or equivalent government-issued identifier outside of the US), driver’s license or other government-issued identification number, credit card or debit card number, or financial account information.  Special Categories of Data shall have the meaning given to it under the GDPR.</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lang w:eastAsia="en-US"/>
        </w:rPr>
        <w:t xml:space="preserve">VITA shall ensure it provides and maintains accurate, up to date contact information with Supplier for purposes of the Parties carrying out their respective obligations under this Contract.  VITA may update its information at any time by contacting </w:t>
      </w:r>
      <w:hyperlink r:id="rId7" w:history="1">
        <w:r>
          <w:rPr>
            <w:rStyle w:val="Hyperlink"/>
            <w:rFonts w:ascii="Times New Roman" w:hAnsi="Times New Roman" w:cs="Times New Roman"/>
            <w:sz w:val="18"/>
            <w:szCs w:val="24"/>
            <w:lang w:eastAsia="en-US"/>
          </w:rPr>
          <w:t>support@hirevue.com</w:t>
        </w:r>
      </w:hyperlink>
      <w:r>
        <w:rPr>
          <w:rFonts w:ascii="Times New Roman" w:hAnsi="Times New Roman" w:cs="Times New Roman"/>
          <w:sz w:val="18"/>
          <w:szCs w:val="24"/>
          <w:lang w:eastAsia="en-US"/>
        </w:rPr>
        <w:t xml:space="preserve">.  VITA’s failure to maintain accurate, current contact information shall relieve Supplier of its notice obligations under the Contract.  </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
          <w:sz w:val="18"/>
          <w:szCs w:val="24"/>
        </w:rPr>
        <w:t>Warranty</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rPr>
        <w:t xml:space="preserve">Supplier shall provide the Services in a professional and workmanlike manner and in compliance with the Documentation and the Service Level commitments provided herein in all material respects.  During the subscription term set forth in an applicable Order, in the event that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notifies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that the Services do not materially conform to the specifications set forth in such Order, the SOW and the Documentation,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shall correct such non-conformity.  </w:t>
      </w:r>
    </w:p>
    <w:p w:rsidR="00C53174" w:rsidRDefault="00C53174" w:rsidP="00C53174">
      <w:pPr>
        <w:pStyle w:val="ListParagraph"/>
        <w:widowControl/>
        <w:numPr>
          <w:ilvl w:val="0"/>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
          <w:sz w:val="18"/>
          <w:szCs w:val="24"/>
        </w:rPr>
        <w:t>Product Specific Provisions</w:t>
      </w:r>
      <w:r>
        <w:rPr>
          <w:rFonts w:ascii="Times New Roman" w:hAnsi="Times New Roman" w:cs="Times New Roman"/>
          <w:sz w:val="18"/>
          <w:szCs w:val="24"/>
        </w:rPr>
        <w:t xml:space="preserve">. </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rPr>
        <w:t xml:space="preserve">If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subscribes to use Coordinate,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hereby grants to </w:t>
      </w:r>
      <w:r>
        <w:rPr>
          <w:rFonts w:ascii="Times New Roman" w:hAnsi="Times New Roman" w:cs="Times New Roman"/>
          <w:sz w:val="18"/>
          <w:szCs w:val="24"/>
          <w:lang w:eastAsia="en-US"/>
        </w:rPr>
        <w:t xml:space="preserve">Supplier </w:t>
      </w:r>
      <w:r>
        <w:rPr>
          <w:rFonts w:ascii="Times New Roman" w:hAnsi="Times New Roman" w:cs="Times New Roman"/>
          <w:sz w:val="18"/>
          <w:szCs w:val="24"/>
        </w:rPr>
        <w:t>the right to collect and store credentials for and to access VITA</w:t>
      </w:r>
      <w:r>
        <w:rPr>
          <w:rFonts w:ascii="Times New Roman" w:hAnsi="Times New Roman" w:cs="Times New Roman"/>
          <w:sz w:val="18"/>
          <w:szCs w:val="24"/>
          <w:lang w:eastAsia="en-US"/>
        </w:rPr>
        <w:t xml:space="preserve">’s </w:t>
      </w:r>
      <w:r>
        <w:rPr>
          <w:rFonts w:ascii="Times New Roman" w:hAnsi="Times New Roman" w:cs="Times New Roman"/>
          <w:sz w:val="18"/>
          <w:szCs w:val="24"/>
        </w:rPr>
        <w:t>email and calendar application solely for the purpose of enabling functionality of Coordinate.  Such information shall be considered VITA’s Confidential Information pursuant to Section 24 of the base Contract.</w:t>
      </w:r>
    </w:p>
    <w:p w:rsidR="00C53174" w:rsidRDefault="00C53174" w:rsidP="00C53174">
      <w:pPr>
        <w:pStyle w:val="ListParagraph"/>
        <w:widowControl/>
        <w:numPr>
          <w:ilvl w:val="1"/>
          <w:numId w:val="2"/>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lang w:eastAsia="en-US"/>
        </w:rPr>
        <w:t>Standard Available Integrations. Supplier offers standard integrations into several third party solutions</w:t>
      </w:r>
      <w:r>
        <w:rPr>
          <w:rFonts w:ascii="Times New Roman" w:hAnsi="Times New Roman" w:cs="Times New Roman"/>
          <w:sz w:val="18"/>
          <w:szCs w:val="24"/>
        </w:rPr>
        <w:t xml:space="preserve"> (such as ATS, HCM, CRM tools, etc.; each, an “Integration Partner”) to provide for integration of certain features of the Licensed Services (each, an “</w:t>
      </w:r>
      <w:r>
        <w:rPr>
          <w:rFonts w:ascii="Times New Roman" w:hAnsi="Times New Roman" w:cs="Times New Roman"/>
          <w:sz w:val="18"/>
          <w:szCs w:val="24"/>
          <w:u w:val="single"/>
        </w:rPr>
        <w:t>Integration</w:t>
      </w:r>
      <w:r>
        <w:rPr>
          <w:rFonts w:ascii="Times New Roman" w:hAnsi="Times New Roman" w:cs="Times New Roman"/>
          <w:sz w:val="18"/>
          <w:szCs w:val="24"/>
        </w:rPr>
        <w:t xml:space="preserve">”).  If VITA has elected to utilize an Integration with its Supplier account, the relevant Integration shall be listed on the Order, and </w:t>
      </w:r>
      <w:r>
        <w:rPr>
          <w:rFonts w:ascii="Times New Roman" w:hAnsi="Times New Roman" w:cs="Times New Roman"/>
          <w:sz w:val="18"/>
          <w:szCs w:val="24"/>
          <w:lang w:eastAsia="en-US"/>
        </w:rPr>
        <w:t xml:space="preserve">Supplier </w:t>
      </w:r>
      <w:r>
        <w:rPr>
          <w:rFonts w:ascii="Times New Roman" w:hAnsi="Times New Roman" w:cs="Times New Roman"/>
          <w:sz w:val="18"/>
          <w:szCs w:val="24"/>
        </w:rPr>
        <w:t xml:space="preserve">hereby authorizes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to access and use the Licensed Services that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has purchased hereunder through such Integration.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understands that </w:t>
      </w:r>
      <w:r>
        <w:rPr>
          <w:rFonts w:ascii="Times New Roman" w:hAnsi="Times New Roman" w:cs="Times New Roman"/>
          <w:sz w:val="18"/>
          <w:szCs w:val="24"/>
          <w:lang w:eastAsia="en-US"/>
        </w:rPr>
        <w:t xml:space="preserve">Integration </w:t>
      </w:r>
      <w:r>
        <w:rPr>
          <w:rFonts w:ascii="Times New Roman" w:hAnsi="Times New Roman" w:cs="Times New Roman"/>
          <w:sz w:val="18"/>
          <w:szCs w:val="24"/>
        </w:rPr>
        <w:t xml:space="preserve">Partners contract independently for their solutions and may apply separate terms and fees for the implementation and use of such Integrations. </w:t>
      </w:r>
      <w:r>
        <w:rPr>
          <w:rFonts w:ascii="Times New Roman" w:hAnsi="Times New Roman" w:cs="Times New Roman"/>
          <w:sz w:val="18"/>
          <w:szCs w:val="24"/>
          <w:lang w:eastAsia="en-US"/>
        </w:rPr>
        <w:t xml:space="preserve">VITA </w:t>
      </w:r>
      <w:r>
        <w:rPr>
          <w:rFonts w:ascii="Times New Roman" w:hAnsi="Times New Roman" w:cs="Times New Roman"/>
          <w:sz w:val="18"/>
          <w:szCs w:val="24"/>
        </w:rPr>
        <w:t xml:space="preserve">shall be solely responsible for its compliance with any such terms and payment of any such fees charged by Integration Partners for VITA’s implementation and use of such Integrations.  </w:t>
      </w:r>
      <w:r>
        <w:rPr>
          <w:rFonts w:ascii="Times New Roman" w:hAnsi="Times New Roman" w:cs="Times New Roman"/>
          <w:sz w:val="18"/>
          <w:szCs w:val="24"/>
        </w:rPr>
        <w:lastRenderedPageBreak/>
        <w:t>SUPPLIER SHALL HAVE NO LIABILITY TO VITA IF SUCH INTEGRATION IS UNAVAILABLE DUE TO ACTS OR OMISSIONS OF THE INTEGRATION PARTNER OR OUTAGES OF THE INTEGRATION PARTNER SOLUTION. SHOULD SUPPLIER’S RIGHT TO INTEGRATE WITH SUCH INTEGRATION PARTNER SOLUTION TERMINATE, VITA’S RIGHT TO USE THE INTEGRATION TO ACCESS THE SUPPLIER SERVICES HEREUNDER SHALL ALSO TERMINATE AND VITA MAY ACCESS THE SUPPLIER SERVICES DIRECTLY THROUGH THE SUPPLIER APPLICATION.</w:t>
      </w:r>
    </w:p>
    <w:p w:rsidR="00C53174" w:rsidRDefault="00C53174" w:rsidP="00C53174">
      <w:pPr>
        <w:pStyle w:val="ListParagraph"/>
        <w:widowControl/>
        <w:numPr>
          <w:ilvl w:val="0"/>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b/>
          <w:sz w:val="18"/>
          <w:szCs w:val="24"/>
        </w:rPr>
        <w:t>Compliance with Laws.</w:t>
      </w:r>
      <w:r>
        <w:rPr>
          <w:rFonts w:ascii="Times New Roman" w:hAnsi="Times New Roman" w:cs="Times New Roman"/>
          <w:sz w:val="18"/>
          <w:szCs w:val="24"/>
        </w:rPr>
        <w:t xml:space="preserve">  </w:t>
      </w:r>
    </w:p>
    <w:p w:rsidR="00C53174" w:rsidRDefault="00C53174" w:rsidP="00C53174">
      <w:pPr>
        <w:pStyle w:val="ListParagraph"/>
        <w:widowControl/>
        <w:numPr>
          <w:ilvl w:val="1"/>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24"/>
        </w:rPr>
        <w:t>The parties shall, in the performance of all obligations hereunder, fully comply with all applicable international, Federal, State and local laws, ordinances, treaties, rules, regulations, orders and policies applicable to or binding upon them.</w:t>
      </w:r>
      <w:r>
        <w:rPr>
          <w:rFonts w:ascii="Times New Roman" w:hAnsi="Times New Roman" w:cs="Times New Roman"/>
          <w:sz w:val="18"/>
          <w:szCs w:val="24"/>
          <w:u w:val="single"/>
        </w:rPr>
        <w:t xml:space="preserve"> </w:t>
      </w:r>
    </w:p>
    <w:p w:rsidR="00C53174" w:rsidRDefault="00C53174" w:rsidP="00C53174">
      <w:pPr>
        <w:pStyle w:val="ListParagraph"/>
        <w:widowControl/>
        <w:numPr>
          <w:ilvl w:val="1"/>
          <w:numId w:val="1"/>
        </w:numPr>
        <w:autoSpaceDE/>
        <w:autoSpaceDN/>
        <w:adjustRightInd/>
        <w:spacing w:after="0" w:line="264" w:lineRule="auto"/>
        <w:contextualSpacing/>
        <w:rPr>
          <w:rFonts w:ascii="Times New Roman" w:hAnsi="Times New Roman" w:cs="Times New Roman"/>
          <w:color w:val="000000"/>
          <w:sz w:val="18"/>
          <w:szCs w:val="24"/>
          <w:shd w:val="clear" w:color="auto" w:fill="000000"/>
          <w:lang w:eastAsia="en-US"/>
        </w:rPr>
      </w:pPr>
      <w:r>
        <w:rPr>
          <w:rFonts w:ascii="Times New Roman" w:hAnsi="Times New Roman" w:cs="Times New Roman"/>
          <w:sz w:val="18"/>
          <w:szCs w:val="18"/>
        </w:rPr>
        <w:t xml:space="preserve">Supplier, a U.S. company, must comply with the all applicable export control and trade and economic sanctions laws and regulations, including the U.S. Export Administration Regulations (“EAR”), 15 CFR Parts 730-799, and the economic sanctions regulations administered by the U.S. Treasury Department's Office of Foreign Assets Controls (“OFAC”), 15 CFR Parts 500-599.  VITA and its Authorized Users agree not to use the Services in any manner that would cause Supplier to be in violation of the applicable sanctions and export laws and regulations.  VITA agrees not to use the Services in any comprehensively sanctioned destination (including Cuba, Iran, North Korea, Syria, and the Crimea region of Ukraine) and represents that it is </w:t>
      </w:r>
      <w:proofErr w:type="gramStart"/>
      <w:r>
        <w:rPr>
          <w:rFonts w:ascii="Times New Roman" w:hAnsi="Times New Roman" w:cs="Times New Roman"/>
          <w:sz w:val="18"/>
          <w:szCs w:val="18"/>
        </w:rPr>
        <w:t>not  included</w:t>
      </w:r>
      <w:proofErr w:type="gramEnd"/>
      <w:r>
        <w:rPr>
          <w:rFonts w:ascii="Times New Roman" w:hAnsi="Times New Roman" w:cs="Times New Roman"/>
          <w:sz w:val="18"/>
          <w:szCs w:val="18"/>
        </w:rPr>
        <w:t xml:space="preserve"> on or covered by any applicable list of sanctioned persons, including the U.S. Treasury Department’s List of Specially Designated Nationals and Blocked Persons.   VITA further agrees not to use the Services for the benefit of or behalf of any sanctioned person or person in a comprehensively sanctioned country, or in any manner contrary to such export and sanctions laws and regulations.  For further information on these restrictions, see </w:t>
      </w:r>
      <w:hyperlink r:id="rId8" w:history="1">
        <w:r>
          <w:rPr>
            <w:rStyle w:val="Hyperlink"/>
            <w:rFonts w:ascii="Times New Roman" w:hAnsi="Times New Roman" w:cs="Times New Roman"/>
            <w:sz w:val="18"/>
            <w:szCs w:val="18"/>
          </w:rPr>
          <w:t>http://www.bis.doc.gov/</w:t>
        </w:r>
      </w:hyperlink>
      <w:r>
        <w:rPr>
          <w:rFonts w:ascii="Times New Roman" w:hAnsi="Times New Roman" w:cs="Times New Roman"/>
          <w:sz w:val="18"/>
          <w:szCs w:val="18"/>
        </w:rPr>
        <w:t xml:space="preserve"> and </w:t>
      </w:r>
      <w:hyperlink r:id="rId9" w:history="1">
        <w:r>
          <w:rPr>
            <w:rStyle w:val="Hyperlink"/>
            <w:rFonts w:ascii="Times New Roman" w:hAnsi="Times New Roman" w:cs="Times New Roman"/>
            <w:sz w:val="18"/>
            <w:szCs w:val="18"/>
          </w:rPr>
          <w:t>http://www.treasury.gov/about/organizational-structure/offices/Pages/Office-of-Foreign-Assets-Control.aspx</w:t>
        </w:r>
      </w:hyperlink>
      <w:r>
        <w:rPr>
          <w:rFonts w:ascii="Times New Roman" w:hAnsi="Times New Roman" w:cs="Times New Roman"/>
          <w:sz w:val="18"/>
          <w:szCs w:val="18"/>
        </w:rPr>
        <w:t>.</w:t>
      </w:r>
    </w:p>
    <w:p w:rsidR="00C53174" w:rsidRDefault="00C53174" w:rsidP="00C53174">
      <w:pPr>
        <w:pStyle w:val="ListParagraph"/>
        <w:widowControl/>
        <w:autoSpaceDE/>
        <w:autoSpaceDN/>
        <w:adjustRightInd/>
        <w:spacing w:after="0" w:line="264" w:lineRule="auto"/>
        <w:ind w:left="360"/>
        <w:contextualSpacing/>
        <w:rPr>
          <w:rFonts w:ascii="Times New Roman" w:hAnsi="Times New Roman" w:cs="Times New Roman"/>
          <w:color w:val="000000"/>
          <w:sz w:val="18"/>
          <w:szCs w:val="24"/>
          <w:shd w:val="clear" w:color="auto" w:fill="000000"/>
          <w:lang w:eastAsia="en-US"/>
        </w:rPr>
      </w:pPr>
    </w:p>
    <w:p w:rsidR="008D4707" w:rsidRDefault="008D4707">
      <w:bookmarkStart w:id="0" w:name="_GoBack"/>
      <w:bookmarkEnd w:id="0"/>
    </w:p>
    <w:sectPr w:rsidR="008D47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D4433D"/>
    <w:multiLevelType w:val="multilevel"/>
    <w:tmpl w:val="0409001F"/>
    <w:lvl w:ilvl="0">
      <w:start w:val="1"/>
      <w:numFmt w:val="decimal"/>
      <w:lvlText w:val="%1."/>
      <w:lvlJc w:val="left"/>
      <w:pPr>
        <w:ind w:left="360" w:hanging="360"/>
      </w:pPr>
      <w:rPr>
        <w:strike w:val="0"/>
        <w:dstrike w:val="0"/>
      </w:rPr>
    </w:lvl>
    <w:lvl w:ilvl="1">
      <w:start w:val="1"/>
      <w:numFmt w:val="decimal"/>
      <w:lvlText w:val="%1.%2."/>
      <w:lvlJc w:val="left"/>
      <w:pPr>
        <w:ind w:left="792" w:hanging="432"/>
      </w:pPr>
      <w:rPr>
        <w:b w:val="0"/>
        <w:strike w:val="0"/>
        <w:dstrike w:val="0"/>
      </w:rPr>
    </w:lvl>
    <w:lvl w:ilvl="2">
      <w:start w:val="1"/>
      <w:numFmt w:val="decimal"/>
      <w:lvlText w:val="%1.%2.%3."/>
      <w:lvlJc w:val="left"/>
      <w:pPr>
        <w:ind w:left="1224" w:hanging="504"/>
      </w:pPr>
      <w:rPr>
        <w:strike w:val="0"/>
        <w:dstrike w:val="0"/>
      </w:rPr>
    </w:lvl>
    <w:lvl w:ilvl="3">
      <w:start w:val="1"/>
      <w:numFmt w:val="decimal"/>
      <w:lvlText w:val="%1.%2.%3.%4."/>
      <w:lvlJc w:val="left"/>
      <w:pPr>
        <w:ind w:left="1728" w:hanging="648"/>
      </w:pPr>
      <w:rPr>
        <w:strike w:val="0"/>
        <w:dstrike w:val="0"/>
      </w:rPr>
    </w:lvl>
    <w:lvl w:ilvl="4">
      <w:start w:val="1"/>
      <w:numFmt w:val="decimal"/>
      <w:lvlText w:val="%1.%2.%3.%4.%5."/>
      <w:lvlJc w:val="left"/>
      <w:pPr>
        <w:ind w:left="2232" w:hanging="792"/>
      </w:pPr>
      <w:rPr>
        <w:strike w:val="0"/>
        <w:dstrike w:val="0"/>
      </w:rPr>
    </w:lvl>
    <w:lvl w:ilvl="5">
      <w:start w:val="1"/>
      <w:numFmt w:val="decimal"/>
      <w:lvlText w:val="%1.%2.%3.%4.%5.%6."/>
      <w:lvlJc w:val="left"/>
      <w:pPr>
        <w:ind w:left="2736" w:hanging="936"/>
      </w:pPr>
      <w:rPr>
        <w:strike w:val="0"/>
        <w:dstrike w:val="0"/>
      </w:rPr>
    </w:lvl>
    <w:lvl w:ilvl="6">
      <w:start w:val="1"/>
      <w:numFmt w:val="decimal"/>
      <w:lvlText w:val="%1.%2.%3.%4.%5.%6.%7."/>
      <w:lvlJc w:val="left"/>
      <w:pPr>
        <w:ind w:left="3240" w:hanging="1080"/>
      </w:pPr>
      <w:rPr>
        <w:strike w:val="0"/>
        <w:dstrike w:val="0"/>
      </w:rPr>
    </w:lvl>
    <w:lvl w:ilvl="7">
      <w:start w:val="1"/>
      <w:numFmt w:val="decimal"/>
      <w:lvlText w:val="%1.%2.%3.%4.%5.%6.%7.%8."/>
      <w:lvlJc w:val="left"/>
      <w:pPr>
        <w:ind w:left="3744" w:hanging="1224"/>
      </w:pPr>
      <w:rPr>
        <w:strike w:val="0"/>
        <w:dstrike w:val="0"/>
      </w:rPr>
    </w:lvl>
    <w:lvl w:ilvl="8">
      <w:start w:val="1"/>
      <w:numFmt w:val="decimal"/>
      <w:lvlText w:val="%1.%2.%3.%4.%5.%6.%7.%8.%9."/>
      <w:lvlJc w:val="left"/>
      <w:pPr>
        <w:ind w:left="4320" w:hanging="1440"/>
      </w:pPr>
      <w:rPr>
        <w:strike w:val="0"/>
        <w:dstrike w:val="0"/>
      </w:rPr>
    </w:lvl>
  </w:abstractNum>
  <w:num w:numId="1">
    <w:abstractNumId w:val="0"/>
    <w:lvlOverride w:ilvl="0">
      <w:lvl w:ilvl="0">
        <w:start w:val="1"/>
        <w:numFmt w:val="decimal"/>
        <w:lvlText w:val="%1."/>
        <w:lvlJc w:val="left"/>
        <w:pPr>
          <w:ind w:left="360" w:hanging="360"/>
        </w:pPr>
        <w:rPr>
          <w:strike w:val="0"/>
          <w:dstrike w:val="0"/>
          <w:color w:val="auto"/>
        </w:rPr>
      </w:lvl>
    </w:lvlOverride>
    <w:lvlOverride w:ilvl="1">
      <w:lvl w:ilvl="1">
        <w:start w:val="1"/>
        <w:numFmt w:val="decimal"/>
        <w:lvlText w:val="%1.%2."/>
        <w:lvlJc w:val="left"/>
        <w:pPr>
          <w:ind w:left="792" w:hanging="432"/>
        </w:pPr>
        <w:rPr>
          <w:b w:val="0"/>
          <w:strike w:val="0"/>
          <w:dstrike w:val="0"/>
        </w:rPr>
      </w:lvl>
    </w:lvlOverride>
    <w:lvlOverride w:ilvl="2">
      <w:lvl w:ilvl="2">
        <w:start w:val="1"/>
        <w:numFmt w:val="decimal"/>
        <w:lvlText w:val="%1.%2.%3."/>
        <w:lvlJc w:val="left"/>
        <w:pPr>
          <w:ind w:left="1224" w:hanging="504"/>
        </w:pPr>
        <w:rPr>
          <w:strike w:val="0"/>
          <w:dstrike w:val="0"/>
        </w:rPr>
      </w:lvl>
    </w:lvlOverride>
    <w:lvlOverride w:ilvl="3">
      <w:lvl w:ilvl="3">
        <w:start w:val="1"/>
        <w:numFmt w:val="decimal"/>
        <w:lvlText w:val="%1.%2.%3.%4."/>
        <w:lvlJc w:val="left"/>
        <w:pPr>
          <w:ind w:left="1728" w:hanging="648"/>
        </w:pPr>
        <w:rPr>
          <w:strike w:val="0"/>
          <w:dstrike w:val="0"/>
        </w:rPr>
      </w:lvl>
    </w:lvlOverride>
    <w:lvlOverride w:ilvl="4">
      <w:lvl w:ilvl="4">
        <w:start w:val="1"/>
        <w:numFmt w:val="decimal"/>
        <w:lvlText w:val="%1.%2.%3.%4.%5."/>
        <w:lvlJc w:val="left"/>
        <w:pPr>
          <w:ind w:left="2232" w:hanging="792"/>
        </w:pPr>
        <w:rPr>
          <w:strike w:val="0"/>
          <w:dstrike w:val="0"/>
        </w:rPr>
      </w:lvl>
    </w:lvlOverride>
    <w:lvlOverride w:ilvl="5">
      <w:lvl w:ilvl="5">
        <w:start w:val="1"/>
        <w:numFmt w:val="decimal"/>
        <w:lvlText w:val="%1.%2.%3.%4.%5.%6."/>
        <w:lvlJc w:val="left"/>
        <w:pPr>
          <w:ind w:left="2736" w:hanging="936"/>
        </w:pPr>
        <w:rPr>
          <w:strike w:val="0"/>
          <w:dstrike w:val="0"/>
        </w:rPr>
      </w:lvl>
    </w:lvlOverride>
    <w:lvlOverride w:ilvl="6">
      <w:lvl w:ilvl="6">
        <w:start w:val="1"/>
        <w:numFmt w:val="decimal"/>
        <w:lvlText w:val="%1.%2.%3.%4.%5.%6.%7."/>
        <w:lvlJc w:val="left"/>
        <w:pPr>
          <w:ind w:left="3240" w:hanging="1080"/>
        </w:pPr>
        <w:rPr>
          <w:strike w:val="0"/>
          <w:dstrike w:val="0"/>
        </w:rPr>
      </w:lvl>
    </w:lvlOverride>
    <w:lvlOverride w:ilvl="7">
      <w:lvl w:ilvl="7">
        <w:start w:val="1"/>
        <w:numFmt w:val="decimal"/>
        <w:lvlText w:val="%1.%2.%3.%4.%5.%6.%7.%8."/>
        <w:lvlJc w:val="left"/>
        <w:pPr>
          <w:ind w:left="3744" w:hanging="1224"/>
        </w:pPr>
        <w:rPr>
          <w:strike w:val="0"/>
          <w:dstrike w:val="0"/>
        </w:rPr>
      </w:lvl>
    </w:lvlOverride>
    <w:lvlOverride w:ilvl="8">
      <w:lvl w:ilvl="8">
        <w:start w:val="1"/>
        <w:numFmt w:val="decimal"/>
        <w:lvlText w:val="%1.%2.%3.%4.%5.%6.%7.%8.%9."/>
        <w:lvlJc w:val="left"/>
        <w:pPr>
          <w:ind w:left="4320" w:hanging="1440"/>
        </w:pPr>
        <w:rPr>
          <w:strike w:val="0"/>
          <w:dstrike w:val="0"/>
        </w:rPr>
      </w:lvl>
    </w:lvlOverride>
  </w:num>
  <w:num w:numId="2">
    <w:abstractNumId w:val="0"/>
    <w:lvlOverride w:ilvl="0">
      <w:startOverride w:val="1"/>
      <w:lvl w:ilvl="0">
        <w:start w:val="1"/>
        <w:numFmt w:val="decimal"/>
        <w:lvlText w:val="%1."/>
        <w:lvlJc w:val="left"/>
        <w:pPr>
          <w:ind w:left="360" w:hanging="360"/>
        </w:pPr>
        <w:rPr>
          <w:strike w:val="0"/>
          <w:dstrike w:val="0"/>
        </w:rPr>
      </w:lvl>
    </w:lvlOverride>
    <w:lvlOverride w:ilvl="1">
      <w:startOverride w:val="1"/>
      <w:lvl w:ilvl="1">
        <w:start w:val="1"/>
        <w:numFmt w:val="decimal"/>
        <w:lvlText w:val="%1.%2."/>
        <w:lvlJc w:val="left"/>
        <w:pPr>
          <w:ind w:left="972" w:hanging="432"/>
        </w:pPr>
        <w:rPr>
          <w:b w:val="0"/>
          <w:strike w:val="0"/>
          <w:dstrike w:val="0"/>
          <w:color w:val="auto"/>
        </w:rPr>
      </w:lvl>
    </w:lvlOverride>
    <w:lvlOverride w:ilvl="2">
      <w:startOverride w:val="1"/>
      <w:lvl w:ilvl="2">
        <w:start w:val="1"/>
        <w:numFmt w:val="decimal"/>
        <w:lvlText w:val="%1.%2.%3."/>
        <w:lvlJc w:val="left"/>
        <w:pPr>
          <w:ind w:left="1224" w:hanging="504"/>
        </w:pPr>
        <w:rPr>
          <w:strike w:val="0"/>
          <w:dstrike w:val="0"/>
        </w:rPr>
      </w:lvl>
    </w:lvlOverride>
    <w:lvlOverride w:ilvl="3">
      <w:startOverride w:val="1"/>
      <w:lvl w:ilvl="3">
        <w:start w:val="1"/>
        <w:numFmt w:val="decimal"/>
        <w:lvlText w:val="%1.%2.%3.%4."/>
        <w:lvlJc w:val="left"/>
        <w:pPr>
          <w:ind w:left="1728" w:hanging="648"/>
        </w:pPr>
        <w:rPr>
          <w:strike w:val="0"/>
          <w:dstrike w:val="0"/>
        </w:rPr>
      </w:lvl>
    </w:lvlOverride>
    <w:lvlOverride w:ilvl="4">
      <w:startOverride w:val="1"/>
      <w:lvl w:ilvl="4">
        <w:start w:val="1"/>
        <w:numFmt w:val="decimal"/>
        <w:lvlText w:val="%1.%2.%3.%4.%5."/>
        <w:lvlJc w:val="left"/>
        <w:pPr>
          <w:ind w:left="2232" w:hanging="792"/>
        </w:pPr>
        <w:rPr>
          <w:strike w:val="0"/>
          <w:dstrike w:val="0"/>
        </w:rPr>
      </w:lvl>
    </w:lvlOverride>
    <w:lvlOverride w:ilvl="5">
      <w:startOverride w:val="1"/>
      <w:lvl w:ilvl="5">
        <w:start w:val="1"/>
        <w:numFmt w:val="decimal"/>
        <w:lvlText w:val="%1.%2.%3.%4.%5.%6."/>
        <w:lvlJc w:val="left"/>
        <w:pPr>
          <w:ind w:left="2736" w:hanging="936"/>
        </w:pPr>
        <w:rPr>
          <w:strike w:val="0"/>
          <w:dstrike w:val="0"/>
        </w:rPr>
      </w:lvl>
    </w:lvlOverride>
    <w:lvlOverride w:ilvl="6">
      <w:startOverride w:val="1"/>
      <w:lvl w:ilvl="6">
        <w:start w:val="1"/>
        <w:numFmt w:val="decimal"/>
        <w:lvlText w:val="%1.%2.%3.%4.%5.%6.%7."/>
        <w:lvlJc w:val="left"/>
        <w:pPr>
          <w:ind w:left="3240" w:hanging="1080"/>
        </w:pPr>
        <w:rPr>
          <w:strike w:val="0"/>
          <w:dstrike w:val="0"/>
        </w:rPr>
      </w:lvl>
    </w:lvlOverride>
    <w:lvlOverride w:ilvl="7">
      <w:startOverride w:val="1"/>
      <w:lvl w:ilvl="7">
        <w:start w:val="1"/>
        <w:numFmt w:val="decimal"/>
        <w:lvlText w:val="%1.%2.%3.%4.%5.%6.%7.%8."/>
        <w:lvlJc w:val="left"/>
        <w:pPr>
          <w:ind w:left="3744" w:hanging="1224"/>
        </w:pPr>
        <w:rPr>
          <w:strike w:val="0"/>
          <w:dstrike w:val="0"/>
        </w:rPr>
      </w:lvl>
    </w:lvlOverride>
    <w:lvlOverride w:ilvl="8">
      <w:startOverride w:val="1"/>
      <w:lvl w:ilvl="8">
        <w:start w:val="1"/>
        <w:numFmt w:val="decimal"/>
        <w:lvlText w:val="%1.%2.%3.%4.%5.%6.%7.%8.%9."/>
        <w:lvlJc w:val="left"/>
        <w:pPr>
          <w:ind w:left="4320" w:hanging="1440"/>
        </w:pPr>
        <w:rPr>
          <w:strike w:val="0"/>
          <w:dstrike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174"/>
    <w:rsid w:val="0042369F"/>
    <w:rsid w:val="008D4707"/>
    <w:rsid w:val="00C53174"/>
    <w:rsid w:val="00D250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D0C7064-F95C-4612-96B8-F9E44863A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174"/>
    <w:pPr>
      <w:numPr>
        <w:ilvl w:val="8"/>
      </w:numPr>
      <w:tabs>
        <w:tab w:val="left" w:pos="360"/>
      </w:tabs>
      <w:spacing w:after="60" w:line="240" w:lineRule="auto"/>
    </w:pPr>
    <w:rPr>
      <w:rFonts w:ascii="Arial" w:eastAsia="Arial" w:hAnsi="Arial" w:cs="Arial"/>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C53174"/>
    <w:rPr>
      <w:color w:val="0000FF"/>
      <w:u w:val="single"/>
    </w:rPr>
  </w:style>
  <w:style w:type="paragraph" w:styleId="TOC1">
    <w:name w:val="toc 1"/>
    <w:basedOn w:val="Normal"/>
    <w:next w:val="Normal"/>
    <w:rsid w:val="00C53174"/>
    <w:pPr>
      <w:tabs>
        <w:tab w:val="left" w:pos="1080"/>
        <w:tab w:val="right" w:pos="9360"/>
      </w:tabs>
      <w:spacing w:before="120" w:after="0"/>
      <w:ind w:left="720" w:hanging="360"/>
    </w:pPr>
    <w:rPr>
      <w:b/>
      <w:caps/>
      <w:noProof/>
    </w:rPr>
  </w:style>
  <w:style w:type="paragraph" w:styleId="ListParagraph">
    <w:name w:val="List Paragraph"/>
    <w:basedOn w:val="Normal"/>
    <w:qFormat/>
    <w:rsid w:val="00C53174"/>
    <w:pPr>
      <w:widowControl w:val="0"/>
      <w:tabs>
        <w:tab w:val="clear" w:pos="360"/>
      </w:tabs>
      <w:autoSpaceDE w:val="0"/>
      <w:autoSpaceDN w:val="0"/>
      <w:adjustRightInd w:val="0"/>
      <w:spacing w:after="200" w:line="276" w:lineRule="auto"/>
      <w:ind w:left="720"/>
    </w:pPr>
    <w:rPr>
      <w:rFonts w:eastAsia="Times New Roman"/>
      <w:color w:val="auto"/>
      <w:sz w:val="22"/>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s.doc.gov/" TargetMode="External"/><Relationship Id="rId3" Type="http://schemas.openxmlformats.org/officeDocument/2006/relationships/settings" Target="settings.xml"/><Relationship Id="rId7" Type="http://schemas.openxmlformats.org/officeDocument/2006/relationships/hyperlink" Target="mailto:support@hirevue.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ir.vu/15S5OOH" TargetMode="External"/><Relationship Id="rId11" Type="http://schemas.openxmlformats.org/officeDocument/2006/relationships/theme" Target="theme/theme1.xml"/><Relationship Id="rId5" Type="http://schemas.openxmlformats.org/officeDocument/2006/relationships/hyperlink" Target="mailto:renewals@hirevue.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treasury.gov/about/organizational-structure/offices/Pages/Office-of-Foreign-Assets-Control.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1968</Words>
  <Characters>10728</Characters>
  <Application>Microsoft Office Word</Application>
  <DocSecurity>0</DocSecurity>
  <Lines>195</Lines>
  <Paragraphs>98</Paragraphs>
  <ScaleCrop>false</ScaleCrop>
  <HeadingPairs>
    <vt:vector size="2" baseType="variant">
      <vt:variant>
        <vt:lpstr>Title</vt:lpstr>
      </vt:variant>
      <vt:variant>
        <vt:i4>1</vt:i4>
      </vt:variant>
    </vt:vector>
  </HeadingPairs>
  <TitlesOfParts>
    <vt:vector size="1" baseType="lpstr">
      <vt:lpstr/>
    </vt:vector>
  </TitlesOfParts>
  <Company>Virginia Information Technologies Agency</Company>
  <LinksUpToDate>false</LinksUpToDate>
  <CharactersWithSpaces>12598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Scearce, Gregory (VITA)</cp:lastModifiedBy>
  <cp:revision>1</cp:revision>
  <dcterms:created xsi:type="dcterms:W3CDTF">2020-09-28T21:02:00Z</dcterms:created>
  <dcterms:modified xsi:type="dcterms:W3CDTF">2020-09-28T21:03:00Z</dcterms:modified>
</cp:coreProperties>
</file>