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9F6" w:rsidRDefault="00E60AB2">
      <w:pPr>
        <w:spacing w:after="0" w:line="259" w:lineRule="auto"/>
        <w:ind w:left="29" w:firstLine="0"/>
      </w:pPr>
      <w:r>
        <w:rPr>
          <w:b/>
          <w:color w:val="2F5496"/>
          <w:sz w:val="32"/>
          <w:u w:val="single" w:color="2F5496"/>
        </w:rPr>
        <w:t>VITA Broadband Services FAQ</w:t>
      </w:r>
      <w:r>
        <w:rPr>
          <w:b/>
          <w:color w:val="2F5496"/>
          <w:sz w:val="32"/>
        </w:rPr>
        <w:t xml:space="preserve"> </w:t>
      </w:r>
    </w:p>
    <w:p w:rsidR="00C869F6" w:rsidRDefault="00E60AB2">
      <w:pPr>
        <w:spacing w:after="114" w:line="259" w:lineRule="auto"/>
        <w:ind w:left="29" w:firstLine="0"/>
      </w:pPr>
      <w:r>
        <w:t xml:space="preserve">    </w:t>
      </w:r>
    </w:p>
    <w:p w:rsidR="00E60AB2" w:rsidRDefault="00E60AB2">
      <w:pPr>
        <w:spacing w:after="114" w:line="259" w:lineRule="auto"/>
        <w:ind w:left="29" w:firstLine="0"/>
      </w:pPr>
      <w:r>
        <w:rPr>
          <w:b/>
        </w:rPr>
        <w:t xml:space="preserve">NOTE:  Executive Branch (EB) agencies are required to request Secure Gateway service from the VITA Service Catalog, as a prerequisite to entering a broadband service request in TEBS.  Non-Executive Branch users are strongly encouraged to utilize a Secure Gateway service in conjunction with broadband service. </w:t>
      </w:r>
    </w:p>
    <w:p w:rsidR="00C869F6" w:rsidRDefault="00E60AB2">
      <w:pPr>
        <w:spacing w:after="0" w:line="260" w:lineRule="auto"/>
        <w:ind w:left="9"/>
      </w:pPr>
      <w:r>
        <w:rPr>
          <w:b/>
          <w:color w:val="4F81BD"/>
          <w:sz w:val="26"/>
        </w:rPr>
        <w:t>What are Broadband Services?</w:t>
      </w:r>
      <w:r>
        <w:rPr>
          <w:b/>
          <w:color w:val="D25F15"/>
          <w:sz w:val="26"/>
        </w:rPr>
        <w:t xml:space="preserve"> </w:t>
      </w:r>
      <w:r>
        <w:t xml:space="preserve"> </w:t>
      </w:r>
    </w:p>
    <w:p w:rsidR="00C869F6" w:rsidRDefault="00E60AB2">
      <w:pPr>
        <w:spacing w:after="185"/>
        <w:ind w:left="19"/>
      </w:pPr>
      <w:r>
        <w:rPr>
          <w:b/>
        </w:rPr>
        <w:t>Broadband Services</w:t>
      </w:r>
      <w:r>
        <w:t xml:space="preserve">, which is defined in terms of providing circuits for high-speed data transfer, including Internet access.  </w:t>
      </w:r>
    </w:p>
    <w:p w:rsidR="00C869F6" w:rsidRDefault="00E60AB2">
      <w:pPr>
        <w:spacing w:after="0" w:line="260" w:lineRule="auto"/>
        <w:ind w:left="9"/>
      </w:pPr>
      <w:r>
        <w:rPr>
          <w:b/>
          <w:color w:val="4F81BD"/>
          <w:sz w:val="26"/>
        </w:rPr>
        <w:t>Who can use the VITA’s Broadband Services contracts?</w:t>
      </w:r>
      <w:r>
        <w:rPr>
          <w:b/>
          <w:color w:val="D25F15"/>
          <w:sz w:val="26"/>
        </w:rPr>
        <w:t xml:space="preserve"> </w:t>
      </w:r>
      <w:r>
        <w:t xml:space="preserve"> </w:t>
      </w:r>
    </w:p>
    <w:p w:rsidR="00C869F6" w:rsidRDefault="00E60AB2">
      <w:pPr>
        <w:spacing w:after="372"/>
        <w:ind w:left="19"/>
      </w:pPr>
      <w:r>
        <w:t xml:space="preserve">Any public body, as defined by §2.2-4301 and referenced by §2.2-4304 of the Code of Virginia; or any private institution of higher education which are listed at </w:t>
      </w:r>
      <w:hyperlink r:id="rId5">
        <w:r>
          <w:rPr>
            <w:color w:val="0E2B8D"/>
          </w:rPr>
          <w:t>http://www.cicv.org/Ou</w:t>
        </w:r>
      </w:hyperlink>
      <w:hyperlink r:id="rId6">
        <w:r>
          <w:rPr>
            <w:color w:val="0E2B8D"/>
          </w:rPr>
          <w:t>r</w:t>
        </w:r>
      </w:hyperlink>
      <w:hyperlink r:id="rId7"/>
      <w:hyperlink r:id="rId8">
        <w:r>
          <w:rPr>
            <w:color w:val="0E2B8D"/>
          </w:rPr>
          <w:t>Colleges/Profiles.asp</w:t>
        </w:r>
      </w:hyperlink>
      <w:hyperlink r:id="rId9">
        <w:r>
          <w:rPr>
            <w:color w:val="0E2B8D"/>
          </w:rPr>
          <w:t>x</w:t>
        </w:r>
      </w:hyperlink>
      <w:hyperlink r:id="rId10">
        <w:r>
          <w:t>,</w:t>
        </w:r>
      </w:hyperlink>
      <w:hyperlink r:id="rId11">
        <w:r>
          <w:t xml:space="preserve"> </w:t>
        </w:r>
      </w:hyperlink>
      <w:r>
        <w:t xml:space="preserve">may use the VITA Broadband Services contracts.  The contracts require services be ordered through VITA’s TEBS online ordering system. </w:t>
      </w:r>
    </w:p>
    <w:p w:rsidR="00C869F6" w:rsidRDefault="00E60AB2">
      <w:pPr>
        <w:spacing w:after="0" w:line="260" w:lineRule="auto"/>
        <w:ind w:left="9"/>
      </w:pPr>
      <w:r>
        <w:rPr>
          <w:b/>
          <w:color w:val="4F81BD"/>
          <w:sz w:val="26"/>
        </w:rPr>
        <w:t>What are the benefits of using the VITA Broadband contracts?</w:t>
      </w:r>
      <w:r>
        <w:rPr>
          <w:b/>
          <w:color w:val="D25F15"/>
          <w:sz w:val="26"/>
        </w:rPr>
        <w:t xml:space="preserve"> </w:t>
      </w:r>
      <w:r>
        <w:t xml:space="preserve"> </w:t>
      </w:r>
    </w:p>
    <w:p w:rsidR="00C869F6" w:rsidRDefault="00E60AB2">
      <w:pPr>
        <w:ind w:left="19"/>
      </w:pPr>
      <w:r>
        <w:t>These contracts have been established via the competitive negotiation process as outlined in the Virginia Public Procurement Act (VPPA). The pricing and service options available should be competitive with other pricing vendors may offer through the negotiation</w:t>
      </w:r>
      <w:r w:rsidR="00030E12">
        <w:t xml:space="preserve"> </w:t>
      </w:r>
      <w:r>
        <w:t xml:space="preserve">process.  </w:t>
      </w:r>
    </w:p>
    <w:p w:rsidR="00C869F6" w:rsidRDefault="00E60AB2">
      <w:pPr>
        <w:ind w:left="19"/>
      </w:pPr>
      <w:r>
        <w:t xml:space="preserve">Users of these contracts are protected by the contract terms and conditions, including security terms, defined service level agreements and cancellation clauses. Early termination fees are excluded. The contracts include month-to-month services that do not require the user to commit to long term services. These contracts also offer flexibility in that they provide a variety of technologies and services and bandwidth options ranging from 768kbps (kilobits per second) to 10,000mbps (megabits per second) download data rates.  </w:t>
      </w:r>
    </w:p>
    <w:p w:rsidR="00C869F6" w:rsidRDefault="00E60AB2">
      <w:pPr>
        <w:ind w:left="19"/>
      </w:pPr>
      <w:r>
        <w:t xml:space="preserve">Localities will find these contracts beneficial since RFP sourcing has been completed without you expending resources and time to manage the competitive negotiation process.  Additionally, VITA filed an E-rate Form 470 for the RFP and resulting contracts on behalf of all schools and libraries in the state, so individual entities don’t need to file their own.  That means they don’t have to endure the associated 28-day waiting period, either—VITA has already done that. </w:t>
      </w:r>
    </w:p>
    <w:p w:rsidR="00C869F6" w:rsidRDefault="00E60AB2">
      <w:pPr>
        <w:spacing w:after="372"/>
        <w:ind w:left="19"/>
      </w:pPr>
      <w:r>
        <w:t xml:space="preserve">Aggregating demand for IT services on state contracts increases the state's leverage position for negotiating services, terms and rates. This supports overall cost management and cost reduction initiatives across all state agencies and public bodies in the commonwealth.  </w:t>
      </w:r>
    </w:p>
    <w:p w:rsidR="00C869F6" w:rsidRDefault="00E60AB2">
      <w:pPr>
        <w:spacing w:after="0" w:line="260" w:lineRule="auto"/>
        <w:ind w:left="9"/>
      </w:pPr>
      <w:r>
        <w:rPr>
          <w:b/>
          <w:color w:val="4F81BD"/>
          <w:sz w:val="26"/>
        </w:rPr>
        <w:t>What are the available bandwidth options?</w:t>
      </w:r>
      <w:r>
        <w:rPr>
          <w:b/>
          <w:color w:val="D25F15"/>
          <w:sz w:val="26"/>
        </w:rPr>
        <w:t xml:space="preserve"> </w:t>
      </w:r>
      <w:r>
        <w:t xml:space="preserve"> </w:t>
      </w:r>
    </w:p>
    <w:p w:rsidR="00C869F6" w:rsidRDefault="00E60AB2">
      <w:pPr>
        <w:ind w:left="19"/>
      </w:pPr>
      <w:r>
        <w:t xml:space="preserve">The broadband services contracts provide a variety of technologies and services with a wide range of bandwidth options from 768kbps up to 10,000mbps.  </w:t>
      </w:r>
    </w:p>
    <w:p w:rsidR="00C869F6" w:rsidRDefault="00030E12">
      <w:pPr>
        <w:ind w:left="19"/>
      </w:pPr>
      <w:hyperlink r:id="rId12">
        <w:r w:rsidR="00E60AB2">
          <w:rPr>
            <w:color w:val="0563C1"/>
            <w:u w:val="single" w:color="0563C1"/>
          </w:rPr>
          <w:t>Broadband Zip Code Search</w:t>
        </w:r>
      </w:hyperlink>
      <w:hyperlink r:id="rId13">
        <w:r w:rsidR="00E60AB2">
          <w:t xml:space="preserve"> </w:t>
        </w:r>
      </w:hyperlink>
      <w:r w:rsidR="00E60AB2">
        <w:t xml:space="preserve">allows you to enter the ZIP code for the geographic location that the broadband services will be installed, and returns a list of services available in your ZIP code.  Please note that, while a service may be shown to be available in your ZIP code, that doesn’t always mean it’s available at your desired service street address. </w:t>
      </w:r>
    </w:p>
    <w:p w:rsidR="00030E12" w:rsidRDefault="00E60AB2" w:rsidP="00030E12">
      <w:pPr>
        <w:spacing w:after="167"/>
        <w:ind w:left="19"/>
        <w:rPr>
          <w:rFonts w:ascii="Calibri" w:eastAsia="Calibri" w:hAnsi="Calibri" w:cs="Calibri"/>
          <w:sz w:val="22"/>
        </w:rPr>
      </w:pPr>
      <w:r>
        <w:t xml:space="preserve">The table below provides the amount of bandwidth associated with each Internet speed/throughput “tier.”  </w:t>
      </w:r>
      <w:r>
        <w:rPr>
          <w:rFonts w:ascii="Calibri" w:eastAsia="Calibri" w:hAnsi="Calibri" w:cs="Calibri"/>
          <w:sz w:val="22"/>
        </w:rPr>
        <w:tab/>
      </w:r>
    </w:p>
    <w:p w:rsidR="00030E12" w:rsidRDefault="00030E12">
      <w:pPr>
        <w:spacing w:after="160" w:line="259" w:lineRule="auto"/>
        <w:ind w:left="0" w:firstLine="0"/>
        <w:rPr>
          <w:rFonts w:ascii="Calibri" w:eastAsia="Calibri" w:hAnsi="Calibri" w:cs="Calibri"/>
          <w:sz w:val="22"/>
        </w:rPr>
      </w:pPr>
      <w:r>
        <w:rPr>
          <w:rFonts w:ascii="Calibri" w:eastAsia="Calibri" w:hAnsi="Calibri" w:cs="Calibri"/>
          <w:sz w:val="22"/>
        </w:rPr>
        <w:br w:type="page"/>
      </w:r>
    </w:p>
    <w:p w:rsidR="00C869F6" w:rsidRDefault="00E60AB2">
      <w:pPr>
        <w:tabs>
          <w:tab w:val="center" w:pos="580"/>
          <w:tab w:val="center" w:pos="2830"/>
        </w:tabs>
        <w:spacing w:after="150" w:line="259" w:lineRule="auto"/>
        <w:ind w:left="0" w:firstLine="0"/>
      </w:pPr>
      <w:r>
        <w:rPr>
          <w:b/>
          <w:sz w:val="20"/>
          <w:u w:val="single" w:color="000000"/>
        </w:rPr>
        <w:lastRenderedPageBreak/>
        <w:t xml:space="preserve">Tier </w:t>
      </w:r>
      <w:r>
        <w:rPr>
          <w:b/>
          <w:sz w:val="20"/>
          <w:u w:val="single" w:color="000000"/>
        </w:rPr>
        <w:tab/>
        <w:t>Minimum Download speed</w:t>
      </w:r>
      <w:r>
        <w:rPr>
          <w:b/>
          <w:sz w:val="20"/>
        </w:rPr>
        <w:t xml:space="preserve"> </w:t>
      </w:r>
      <w:bookmarkStart w:id="0" w:name="_GoBack"/>
      <w:bookmarkEnd w:id="0"/>
    </w:p>
    <w:p w:rsidR="00C869F6" w:rsidRDefault="00E60AB2">
      <w:pPr>
        <w:numPr>
          <w:ilvl w:val="0"/>
          <w:numId w:val="1"/>
        </w:numPr>
        <w:spacing w:after="3" w:line="259" w:lineRule="auto"/>
        <w:ind w:hanging="835"/>
      </w:pPr>
      <w:r>
        <w:rPr>
          <w:sz w:val="20"/>
        </w:rPr>
        <w:t xml:space="preserve">Less than 1 Mbps </w:t>
      </w:r>
    </w:p>
    <w:p w:rsidR="00C869F6" w:rsidRDefault="00E60AB2">
      <w:pPr>
        <w:numPr>
          <w:ilvl w:val="0"/>
          <w:numId w:val="1"/>
        </w:numPr>
        <w:spacing w:after="3" w:line="259" w:lineRule="auto"/>
        <w:ind w:hanging="835"/>
      </w:pPr>
      <w:r>
        <w:rPr>
          <w:sz w:val="20"/>
        </w:rPr>
        <w:t xml:space="preserve">Less than 5 </w:t>
      </w:r>
      <w:proofErr w:type="spellStart"/>
      <w:r>
        <w:rPr>
          <w:sz w:val="20"/>
        </w:rPr>
        <w:t>Mpbs</w:t>
      </w:r>
      <w:proofErr w:type="spellEnd"/>
      <w:r>
        <w:rPr>
          <w:sz w:val="20"/>
        </w:rPr>
        <w:t xml:space="preserve"> </w:t>
      </w:r>
    </w:p>
    <w:p w:rsidR="00C869F6" w:rsidRDefault="00E60AB2">
      <w:pPr>
        <w:numPr>
          <w:ilvl w:val="0"/>
          <w:numId w:val="1"/>
        </w:numPr>
        <w:spacing w:after="3" w:line="259" w:lineRule="auto"/>
        <w:ind w:hanging="835"/>
      </w:pPr>
      <w:r>
        <w:rPr>
          <w:sz w:val="20"/>
        </w:rPr>
        <w:t xml:space="preserve">10 Mbps </w:t>
      </w:r>
    </w:p>
    <w:p w:rsidR="00C869F6" w:rsidRDefault="00E60AB2">
      <w:pPr>
        <w:numPr>
          <w:ilvl w:val="0"/>
          <w:numId w:val="1"/>
        </w:numPr>
        <w:spacing w:after="3" w:line="259" w:lineRule="auto"/>
        <w:ind w:hanging="835"/>
      </w:pPr>
      <w:r>
        <w:rPr>
          <w:sz w:val="20"/>
        </w:rPr>
        <w:t xml:space="preserve">20 Mbps </w:t>
      </w:r>
    </w:p>
    <w:p w:rsidR="00C869F6" w:rsidRDefault="00E60AB2">
      <w:pPr>
        <w:numPr>
          <w:ilvl w:val="0"/>
          <w:numId w:val="1"/>
        </w:numPr>
        <w:spacing w:after="3" w:line="259" w:lineRule="auto"/>
        <w:ind w:hanging="835"/>
      </w:pPr>
      <w:r>
        <w:rPr>
          <w:sz w:val="20"/>
        </w:rPr>
        <w:t xml:space="preserve">40 Mbps </w:t>
      </w:r>
    </w:p>
    <w:p w:rsidR="00C869F6" w:rsidRDefault="00E60AB2">
      <w:pPr>
        <w:numPr>
          <w:ilvl w:val="0"/>
          <w:numId w:val="1"/>
        </w:numPr>
        <w:spacing w:after="3" w:line="259" w:lineRule="auto"/>
        <w:ind w:hanging="835"/>
      </w:pPr>
      <w:r>
        <w:rPr>
          <w:sz w:val="20"/>
        </w:rPr>
        <w:t xml:space="preserve">100 Mbps </w:t>
      </w:r>
    </w:p>
    <w:p w:rsidR="00C869F6" w:rsidRDefault="00E60AB2">
      <w:pPr>
        <w:numPr>
          <w:ilvl w:val="0"/>
          <w:numId w:val="1"/>
        </w:numPr>
        <w:spacing w:after="3" w:line="259" w:lineRule="auto"/>
        <w:ind w:hanging="835"/>
      </w:pPr>
      <w:r>
        <w:rPr>
          <w:sz w:val="20"/>
        </w:rPr>
        <w:t xml:space="preserve">200 Mbps    </w:t>
      </w:r>
    </w:p>
    <w:p w:rsidR="00C869F6" w:rsidRDefault="00E60AB2">
      <w:pPr>
        <w:numPr>
          <w:ilvl w:val="0"/>
          <w:numId w:val="1"/>
        </w:numPr>
        <w:spacing w:after="3" w:line="259" w:lineRule="auto"/>
        <w:ind w:hanging="835"/>
      </w:pPr>
      <w:r>
        <w:rPr>
          <w:sz w:val="20"/>
        </w:rPr>
        <w:t xml:space="preserve">400 Mbps </w:t>
      </w:r>
    </w:p>
    <w:p w:rsidR="00C869F6" w:rsidRDefault="00E60AB2">
      <w:pPr>
        <w:numPr>
          <w:ilvl w:val="0"/>
          <w:numId w:val="1"/>
        </w:numPr>
        <w:spacing w:after="3" w:line="259" w:lineRule="auto"/>
        <w:ind w:hanging="835"/>
      </w:pPr>
      <w:r>
        <w:rPr>
          <w:sz w:val="20"/>
        </w:rPr>
        <w:t xml:space="preserve">600 Mbps </w:t>
      </w:r>
    </w:p>
    <w:p w:rsidR="00C869F6" w:rsidRDefault="00E60AB2">
      <w:pPr>
        <w:numPr>
          <w:ilvl w:val="0"/>
          <w:numId w:val="1"/>
        </w:numPr>
        <w:spacing w:after="3" w:line="259" w:lineRule="auto"/>
        <w:ind w:hanging="835"/>
      </w:pPr>
      <w:r>
        <w:rPr>
          <w:sz w:val="20"/>
        </w:rPr>
        <w:t xml:space="preserve">800 Mbps </w:t>
      </w:r>
    </w:p>
    <w:p w:rsidR="00C869F6" w:rsidRDefault="00E60AB2">
      <w:pPr>
        <w:numPr>
          <w:ilvl w:val="0"/>
          <w:numId w:val="1"/>
        </w:numPr>
        <w:spacing w:after="3" w:line="259" w:lineRule="auto"/>
        <w:ind w:hanging="835"/>
      </w:pPr>
      <w:r>
        <w:rPr>
          <w:sz w:val="20"/>
        </w:rPr>
        <w:t xml:space="preserve">1,000 Mbps </w:t>
      </w:r>
    </w:p>
    <w:p w:rsidR="00C869F6" w:rsidRDefault="00E60AB2">
      <w:pPr>
        <w:numPr>
          <w:ilvl w:val="0"/>
          <w:numId w:val="2"/>
        </w:numPr>
        <w:spacing w:after="3" w:line="259" w:lineRule="auto"/>
        <w:ind w:hanging="835"/>
      </w:pPr>
      <w:r>
        <w:rPr>
          <w:sz w:val="20"/>
        </w:rPr>
        <w:t xml:space="preserve">4,000 Mbps </w:t>
      </w:r>
    </w:p>
    <w:p w:rsidR="00C869F6" w:rsidRDefault="00E60AB2">
      <w:pPr>
        <w:numPr>
          <w:ilvl w:val="0"/>
          <w:numId w:val="2"/>
        </w:numPr>
        <w:spacing w:after="3" w:line="259" w:lineRule="auto"/>
        <w:ind w:hanging="835"/>
      </w:pPr>
      <w:r>
        <w:rPr>
          <w:sz w:val="20"/>
        </w:rPr>
        <w:t xml:space="preserve">6,000 Mbps </w:t>
      </w:r>
    </w:p>
    <w:p w:rsidR="00C869F6" w:rsidRDefault="00E60AB2">
      <w:pPr>
        <w:numPr>
          <w:ilvl w:val="0"/>
          <w:numId w:val="2"/>
        </w:numPr>
        <w:spacing w:after="3" w:line="259" w:lineRule="auto"/>
        <w:ind w:hanging="835"/>
      </w:pPr>
      <w:r>
        <w:rPr>
          <w:sz w:val="20"/>
        </w:rPr>
        <w:t xml:space="preserve">8,000 Mbps </w:t>
      </w:r>
    </w:p>
    <w:p w:rsidR="00C869F6" w:rsidRDefault="00E60AB2">
      <w:pPr>
        <w:numPr>
          <w:ilvl w:val="0"/>
          <w:numId w:val="2"/>
        </w:numPr>
        <w:spacing w:after="3" w:line="259" w:lineRule="auto"/>
        <w:ind w:hanging="835"/>
      </w:pPr>
      <w:r>
        <w:rPr>
          <w:sz w:val="20"/>
        </w:rPr>
        <w:t xml:space="preserve">10,000 Mbps </w:t>
      </w:r>
    </w:p>
    <w:p w:rsidR="00C869F6" w:rsidRDefault="00E60AB2">
      <w:pPr>
        <w:spacing w:after="61" w:line="259" w:lineRule="auto"/>
        <w:ind w:left="514" w:firstLine="0"/>
      </w:pPr>
      <w:r>
        <w:t xml:space="preserve"> </w:t>
      </w:r>
    </w:p>
    <w:p w:rsidR="00C869F6" w:rsidRDefault="00E60AB2">
      <w:pPr>
        <w:spacing w:after="0" w:line="260" w:lineRule="auto"/>
        <w:ind w:left="9"/>
      </w:pPr>
      <w:r>
        <w:rPr>
          <w:b/>
          <w:color w:val="4F81BD"/>
          <w:sz w:val="26"/>
        </w:rPr>
        <w:t>What are the rates?</w:t>
      </w:r>
      <w:r>
        <w:rPr>
          <w:b/>
          <w:color w:val="D25F15"/>
          <w:sz w:val="26"/>
        </w:rPr>
        <w:t xml:space="preserve"> </w:t>
      </w:r>
      <w:r>
        <w:t xml:space="preserve"> </w:t>
      </w:r>
    </w:p>
    <w:p w:rsidR="00C869F6" w:rsidRDefault="00E60AB2">
      <w:pPr>
        <w:ind w:left="19"/>
      </w:pPr>
      <w:r>
        <w:t xml:space="preserve">Customers pay the prices shown as supplier’s contract pricing, </w:t>
      </w:r>
      <w:r>
        <w:rPr>
          <w:i/>
          <w:u w:val="single" w:color="000000"/>
        </w:rPr>
        <w:t>plus</w:t>
      </w:r>
      <w:r>
        <w:t xml:space="preserve"> any applicable State or Federal fees. </w:t>
      </w:r>
    </w:p>
    <w:p w:rsidR="00C869F6" w:rsidRDefault="00E60AB2">
      <w:pPr>
        <w:ind w:left="19"/>
      </w:pPr>
      <w:r>
        <w:t xml:space="preserve">Pricing for broadband services is based on the technology type and bandwidth tier. </w:t>
      </w:r>
      <w:r>
        <w:rPr>
          <w:i/>
        </w:rPr>
        <w:t>Note that all technology types will not be available in all areas of the state.</w:t>
      </w:r>
      <w:r>
        <w:t xml:space="preserve">   </w:t>
      </w:r>
    </w:p>
    <w:p w:rsidR="00C869F6" w:rsidRDefault="00E60AB2">
      <w:pPr>
        <w:spacing w:after="367"/>
        <w:ind w:left="19"/>
      </w:pPr>
      <w:r>
        <w:t xml:space="preserve">Use </w:t>
      </w:r>
      <w:hyperlink r:id="rId14">
        <w:r>
          <w:rPr>
            <w:color w:val="0563C1"/>
            <w:u w:val="single" w:color="0563C1"/>
          </w:rPr>
          <w:t>Broadband Zip Code Search</w:t>
        </w:r>
      </w:hyperlink>
      <w:hyperlink r:id="rId15">
        <w:r>
          <w:t xml:space="preserve"> </w:t>
        </w:r>
      </w:hyperlink>
      <w:r>
        <w:t xml:space="preserve">to view the broadband service options and supplier pricing available in your ZIP code.  </w:t>
      </w:r>
    </w:p>
    <w:p w:rsidR="00C869F6" w:rsidRDefault="00E60AB2">
      <w:pPr>
        <w:spacing w:after="0" w:line="260" w:lineRule="auto"/>
        <w:ind w:left="9"/>
      </w:pPr>
      <w:r>
        <w:rPr>
          <w:b/>
          <w:color w:val="4F81BD"/>
          <w:sz w:val="26"/>
        </w:rPr>
        <w:t>I don't see any broadband services listed for my ZIP code. What do I do?</w:t>
      </w:r>
      <w:r>
        <w:rPr>
          <w:b/>
          <w:color w:val="D25F15"/>
          <w:sz w:val="26"/>
        </w:rPr>
        <w:t xml:space="preserve"> </w:t>
      </w:r>
      <w:r>
        <w:t xml:space="preserve"> </w:t>
      </w:r>
    </w:p>
    <w:p w:rsidR="00C869F6" w:rsidRDefault="00E60AB2">
      <w:pPr>
        <w:ind w:left="19"/>
      </w:pPr>
      <w:r>
        <w:t xml:space="preserve">These contracts represent an expansion of broadband technologies and services available on previous broadband contracts to provide coverage throughout the commonwealth. For various reasons, including lack of business development and funding, not every area of the commonwealth has options for all technology types, however </w:t>
      </w:r>
      <w:r>
        <w:rPr>
          <w:u w:val="single" w:color="000000"/>
        </w:rPr>
        <w:t>every zip code in the state has at</w:t>
      </w:r>
      <w:r>
        <w:t xml:space="preserve"> </w:t>
      </w:r>
      <w:r>
        <w:rPr>
          <w:u w:val="single" w:color="000000"/>
        </w:rPr>
        <w:t>least one available broadband technology</w:t>
      </w:r>
      <w:r>
        <w:t xml:space="preserve">.   </w:t>
      </w:r>
    </w:p>
    <w:p w:rsidR="00C869F6" w:rsidRDefault="00E60AB2">
      <w:pPr>
        <w:spacing w:after="368"/>
        <w:ind w:left="19"/>
      </w:pPr>
      <w:r>
        <w:t xml:space="preserve">If a state agency or public body desiring to utilize the VITA contracts is not able to find a contract option that meets the entity's needs, please contact </w:t>
      </w:r>
      <w:r>
        <w:rPr>
          <w:color w:val="0E2B8D"/>
        </w:rPr>
        <w:t xml:space="preserve">VITA Supply Chain Management </w:t>
      </w:r>
      <w:r>
        <w:t xml:space="preserve">to discuss other options for obtaining the needed service.  </w:t>
      </w:r>
    </w:p>
    <w:p w:rsidR="00C869F6" w:rsidRDefault="00E60AB2">
      <w:pPr>
        <w:spacing w:after="115" w:line="260" w:lineRule="auto"/>
        <w:ind w:left="9"/>
      </w:pPr>
      <w:r>
        <w:rPr>
          <w:b/>
          <w:color w:val="4F81BD"/>
          <w:sz w:val="26"/>
        </w:rPr>
        <w:t>How do I request broadband services?</w:t>
      </w:r>
      <w:r>
        <w:rPr>
          <w:b/>
          <w:color w:val="D25F15"/>
          <w:sz w:val="26"/>
        </w:rPr>
        <w:t xml:space="preserve"> </w:t>
      </w:r>
      <w:r>
        <w:t xml:space="preserve"> </w:t>
      </w:r>
    </w:p>
    <w:p w:rsidR="00C869F6" w:rsidRDefault="00E60AB2">
      <w:pPr>
        <w:spacing w:after="175"/>
        <w:ind w:left="19"/>
      </w:pPr>
      <w:r>
        <w:t xml:space="preserve">Identify what speed of service or bandwidth is required for your broadband Internet connection (consider the number of users and business applications used).  </w:t>
      </w:r>
    </w:p>
    <w:p w:rsidR="00C869F6" w:rsidRDefault="00030E12">
      <w:pPr>
        <w:spacing w:after="179"/>
        <w:ind w:left="19"/>
      </w:pPr>
      <w:hyperlink r:id="rId16">
        <w:r w:rsidR="00E60AB2">
          <w:rPr>
            <w:color w:val="0563C1"/>
            <w:u w:val="single" w:color="0563C1"/>
          </w:rPr>
          <w:t>Broadband Zip Code Search</w:t>
        </w:r>
      </w:hyperlink>
      <w:hyperlink r:id="rId17">
        <w:r w:rsidR="00E60AB2">
          <w:t xml:space="preserve"> </w:t>
        </w:r>
      </w:hyperlink>
      <w:r w:rsidR="00E60AB2">
        <w:t xml:space="preserve">is used to determine what broadband services are available within the ZIP code where the service will be installed.  </w:t>
      </w:r>
    </w:p>
    <w:p w:rsidR="00C869F6" w:rsidRDefault="00E60AB2">
      <w:pPr>
        <w:spacing w:after="149" w:line="242" w:lineRule="auto"/>
        <w:ind w:left="24" w:right="107"/>
      </w:pPr>
      <w:r>
        <w:t>C</w:t>
      </w:r>
      <w:r>
        <w:rPr>
          <w:u w:val="single" w:color="000000"/>
        </w:rPr>
        <w:t>ontact your agency's telecommunications coordinator</w:t>
      </w:r>
      <w:r>
        <w:t xml:space="preserve"> who will enter the request through TEBS'</w:t>
      </w:r>
      <w:hyperlink r:id="rId18">
        <w:r>
          <w:t xml:space="preserve"> </w:t>
        </w:r>
      </w:hyperlink>
      <w:hyperlink r:id="rId19">
        <w:r>
          <w:rPr>
            <w:color w:val="0563C1"/>
            <w:u w:val="single" w:color="0563C1"/>
          </w:rPr>
          <w:t xml:space="preserve">Simple Work Order </w:t>
        </w:r>
      </w:hyperlink>
      <w:hyperlink r:id="rId20">
        <w:r>
          <w:rPr>
            <w:color w:val="0563C1"/>
            <w:u w:val="single" w:color="0563C1"/>
          </w:rPr>
          <w:t xml:space="preserve">- </w:t>
        </w:r>
      </w:hyperlink>
      <w:hyperlink r:id="rId21">
        <w:r>
          <w:rPr>
            <w:color w:val="0563C1"/>
            <w:u w:val="single" w:color="0563C1"/>
          </w:rPr>
          <w:t>For User</w:t>
        </w:r>
      </w:hyperlink>
      <w:hyperlink r:id="rId22">
        <w:r>
          <w:t>.</w:t>
        </w:r>
      </w:hyperlink>
      <w:r>
        <w:t xml:space="preserve"> </w:t>
      </w:r>
    </w:p>
    <w:p w:rsidR="00C869F6" w:rsidRDefault="00E60AB2" w:rsidP="00030E12">
      <w:pPr>
        <w:spacing w:after="186"/>
        <w:ind w:left="19"/>
      </w:pPr>
      <w:r>
        <w:t xml:space="preserve">For questions, please contact Telecommunications Customer Service (TCS) at </w:t>
      </w:r>
      <w:r>
        <w:rPr>
          <w:color w:val="0563C1"/>
          <w:u w:val="single" w:color="0563C1"/>
        </w:rPr>
        <w:t>tcs@vita.virginia.gov</w:t>
      </w:r>
      <w:r>
        <w:t xml:space="preserve">.  </w:t>
      </w:r>
    </w:p>
    <w:sectPr w:rsidR="00C869F6" w:rsidSect="00030E12">
      <w:pgSz w:w="12240" w:h="15840"/>
      <w:pgMar w:top="900" w:right="1456" w:bottom="810" w:left="141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95CCE"/>
    <w:multiLevelType w:val="hybridMultilevel"/>
    <w:tmpl w:val="38CEC302"/>
    <w:lvl w:ilvl="0" w:tplc="D1928116">
      <w:start w:val="1"/>
      <w:numFmt w:val="decimal"/>
      <w:lvlText w:val="%1"/>
      <w:lvlJc w:val="left"/>
      <w:pPr>
        <w:ind w:left="133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B33CB7B4">
      <w:start w:val="1"/>
      <w:numFmt w:val="lowerLetter"/>
      <w:lvlText w:val="%2"/>
      <w:lvlJc w:val="left"/>
      <w:pPr>
        <w:ind w:left="15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7603704">
      <w:start w:val="1"/>
      <w:numFmt w:val="lowerRoman"/>
      <w:lvlText w:val="%3"/>
      <w:lvlJc w:val="left"/>
      <w:pPr>
        <w:ind w:left="23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3867C40">
      <w:start w:val="1"/>
      <w:numFmt w:val="decimal"/>
      <w:lvlText w:val="%4"/>
      <w:lvlJc w:val="left"/>
      <w:pPr>
        <w:ind w:left="30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752DE66">
      <w:start w:val="1"/>
      <w:numFmt w:val="lowerLetter"/>
      <w:lvlText w:val="%5"/>
      <w:lvlJc w:val="left"/>
      <w:pPr>
        <w:ind w:left="37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36A9F0A">
      <w:start w:val="1"/>
      <w:numFmt w:val="lowerRoman"/>
      <w:lvlText w:val="%6"/>
      <w:lvlJc w:val="left"/>
      <w:pPr>
        <w:ind w:left="44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6A041C">
      <w:start w:val="1"/>
      <w:numFmt w:val="decimal"/>
      <w:lvlText w:val="%7"/>
      <w:lvlJc w:val="left"/>
      <w:pPr>
        <w:ind w:left="51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0E38E5F0">
      <w:start w:val="1"/>
      <w:numFmt w:val="lowerLetter"/>
      <w:lvlText w:val="%8"/>
      <w:lvlJc w:val="left"/>
      <w:pPr>
        <w:ind w:left="59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DDA43CE">
      <w:start w:val="1"/>
      <w:numFmt w:val="lowerRoman"/>
      <w:lvlText w:val="%9"/>
      <w:lvlJc w:val="left"/>
      <w:pPr>
        <w:ind w:left="66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6036A1E"/>
    <w:multiLevelType w:val="hybridMultilevel"/>
    <w:tmpl w:val="7ED2DC48"/>
    <w:lvl w:ilvl="0" w:tplc="5ABEBE76">
      <w:start w:val="13"/>
      <w:numFmt w:val="decimal"/>
      <w:lvlText w:val="%1"/>
      <w:lvlJc w:val="left"/>
      <w:pPr>
        <w:ind w:left="133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36BE6F0C">
      <w:start w:val="1"/>
      <w:numFmt w:val="lowerLetter"/>
      <w:lvlText w:val="%2"/>
      <w:lvlJc w:val="left"/>
      <w:pPr>
        <w:ind w:left="15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5B6CFDC">
      <w:start w:val="1"/>
      <w:numFmt w:val="lowerRoman"/>
      <w:lvlText w:val="%3"/>
      <w:lvlJc w:val="left"/>
      <w:pPr>
        <w:ind w:left="23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832C5C0">
      <w:start w:val="1"/>
      <w:numFmt w:val="decimal"/>
      <w:lvlText w:val="%4"/>
      <w:lvlJc w:val="left"/>
      <w:pPr>
        <w:ind w:left="30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FA693EC">
      <w:start w:val="1"/>
      <w:numFmt w:val="lowerLetter"/>
      <w:lvlText w:val="%5"/>
      <w:lvlJc w:val="left"/>
      <w:pPr>
        <w:ind w:left="37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1DCA5CE">
      <w:start w:val="1"/>
      <w:numFmt w:val="lowerRoman"/>
      <w:lvlText w:val="%6"/>
      <w:lvlJc w:val="left"/>
      <w:pPr>
        <w:ind w:left="44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970816C">
      <w:start w:val="1"/>
      <w:numFmt w:val="decimal"/>
      <w:lvlText w:val="%7"/>
      <w:lvlJc w:val="left"/>
      <w:pPr>
        <w:ind w:left="51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0C2466A">
      <w:start w:val="1"/>
      <w:numFmt w:val="lowerLetter"/>
      <w:lvlText w:val="%8"/>
      <w:lvlJc w:val="left"/>
      <w:pPr>
        <w:ind w:left="59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DCBA8E62">
      <w:start w:val="1"/>
      <w:numFmt w:val="lowerRoman"/>
      <w:lvlText w:val="%9"/>
      <w:lvlJc w:val="left"/>
      <w:pPr>
        <w:ind w:left="66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9F6"/>
    <w:rsid w:val="00030E12"/>
    <w:rsid w:val="00C869F6"/>
    <w:rsid w:val="00E60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F1D4"/>
  <w15:docId w15:val="{C8778DEE-A59C-411F-8E79-7593A9BE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4" w:line="244" w:lineRule="auto"/>
      <w:ind w:left="10" w:hanging="10"/>
    </w:pPr>
    <w:rPr>
      <w:rFonts w:ascii="Verdana" w:eastAsia="Verdana" w:hAnsi="Verdana" w:cs="Verdana"/>
      <w:color w:val="00000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0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E1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icv.org/Our-Colleges/Profiles.aspx" TargetMode="External"/><Relationship Id="rId13" Type="http://schemas.openxmlformats.org/officeDocument/2006/relationships/hyperlink" Target="https://www.vita2.virginia.gov/procurement/BroadBandZipSearch.cfm" TargetMode="External"/><Relationship Id="rId18" Type="http://schemas.openxmlformats.org/officeDocument/2006/relationships/hyperlink" Target="https://www.vita.virginia.gov/media/vitavirginiagov/services/pdf/TEBSSWO.pdf" TargetMode="External"/><Relationship Id="rId3" Type="http://schemas.openxmlformats.org/officeDocument/2006/relationships/settings" Target="settings.xml"/><Relationship Id="rId21" Type="http://schemas.openxmlformats.org/officeDocument/2006/relationships/hyperlink" Target="https://www.vita.virginia.gov/media/vitavirginiagov/services/pdf/TEBSSWO.pdf" TargetMode="External"/><Relationship Id="rId7" Type="http://schemas.openxmlformats.org/officeDocument/2006/relationships/hyperlink" Target="http://www.cicv.org/Our-Colleges/Profiles.aspx" TargetMode="External"/><Relationship Id="rId12" Type="http://schemas.openxmlformats.org/officeDocument/2006/relationships/hyperlink" Target="https://www.vita2.virginia.gov/procurement/BroadBandZipSearch.cfm" TargetMode="External"/><Relationship Id="rId17" Type="http://schemas.openxmlformats.org/officeDocument/2006/relationships/hyperlink" Target="https://www.vita2.virginia.gov/procurement/BroadBandZipSearch.cfm" TargetMode="External"/><Relationship Id="rId2" Type="http://schemas.openxmlformats.org/officeDocument/2006/relationships/styles" Target="styles.xml"/><Relationship Id="rId16" Type="http://schemas.openxmlformats.org/officeDocument/2006/relationships/hyperlink" Target="https://www.vita2.virginia.gov/procurement/BroadBandZipSearch.cfm" TargetMode="External"/><Relationship Id="rId20" Type="http://schemas.openxmlformats.org/officeDocument/2006/relationships/hyperlink" Target="https://www.vita.virginia.gov/media/vitavirginiagov/services/pdf/TEBSSWO.pdf" TargetMode="External"/><Relationship Id="rId1" Type="http://schemas.openxmlformats.org/officeDocument/2006/relationships/numbering" Target="numbering.xml"/><Relationship Id="rId6" Type="http://schemas.openxmlformats.org/officeDocument/2006/relationships/hyperlink" Target="http://www.cicv.org/Our-Colleges/Profiles.aspx" TargetMode="External"/><Relationship Id="rId11" Type="http://schemas.openxmlformats.org/officeDocument/2006/relationships/hyperlink" Target="http://www.cicv.org/Our-Colleges/Profiles.aspx" TargetMode="External"/><Relationship Id="rId24" Type="http://schemas.openxmlformats.org/officeDocument/2006/relationships/theme" Target="theme/theme1.xml"/><Relationship Id="rId5" Type="http://schemas.openxmlformats.org/officeDocument/2006/relationships/hyperlink" Target="http://www.cicv.org/Our-Colleges/Profiles.aspx" TargetMode="External"/><Relationship Id="rId15" Type="http://schemas.openxmlformats.org/officeDocument/2006/relationships/hyperlink" Target="https://www.vita2.virginia.gov/procurement/BroadBandZipSearch.cfm" TargetMode="External"/><Relationship Id="rId23" Type="http://schemas.openxmlformats.org/officeDocument/2006/relationships/fontTable" Target="fontTable.xml"/><Relationship Id="rId10" Type="http://schemas.openxmlformats.org/officeDocument/2006/relationships/hyperlink" Target="http://www.cicv.org/Our-Colleges/Profiles.aspx" TargetMode="External"/><Relationship Id="rId19" Type="http://schemas.openxmlformats.org/officeDocument/2006/relationships/hyperlink" Target="https://www.vita.virginia.gov/media/vitavirginiagov/services/pdf/TEBSSWO.pdf" TargetMode="External"/><Relationship Id="rId4" Type="http://schemas.openxmlformats.org/officeDocument/2006/relationships/webSettings" Target="webSettings.xml"/><Relationship Id="rId9" Type="http://schemas.openxmlformats.org/officeDocument/2006/relationships/hyperlink" Target="http://www.cicv.org/Our-Colleges/Profiles.aspx" TargetMode="External"/><Relationship Id="rId14" Type="http://schemas.openxmlformats.org/officeDocument/2006/relationships/hyperlink" Target="https://www.vita2.virginia.gov/procurement/BroadBandZipSearch.cfm" TargetMode="External"/><Relationship Id="rId22" Type="http://schemas.openxmlformats.org/officeDocument/2006/relationships/hyperlink" Target="https://www.vita.virginia.gov/media/vitavirginiagov/services/pdf/TEBSSW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Kida, Jordanka (VITA)</dc:creator>
  <cp:keywords/>
  <cp:lastModifiedBy>VITA Program</cp:lastModifiedBy>
  <cp:revision>2</cp:revision>
  <dcterms:created xsi:type="dcterms:W3CDTF">2021-03-25T20:09:00Z</dcterms:created>
  <dcterms:modified xsi:type="dcterms:W3CDTF">2021-03-25T20:09:00Z</dcterms:modified>
</cp:coreProperties>
</file>