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7729D0" w14:textId="0A4F30CF" w:rsidR="001019C1" w:rsidRDefault="00353C5F" w:rsidP="001019C1">
      <w:pPr>
        <w:pStyle w:val="Heading1"/>
        <w:numPr>
          <w:ilvl w:val="0"/>
          <w:numId w:val="0"/>
        </w:numPr>
      </w:pPr>
      <w:bookmarkStart w:id="0" w:name="_Toc42782022"/>
      <w:r>
        <w:t xml:space="preserve">VITA </w:t>
      </w:r>
      <w:r w:rsidRPr="002D6DB7">
        <w:t xml:space="preserve">contract </w:t>
      </w:r>
      <w:r w:rsidR="002D6DB7" w:rsidRPr="002D6DB7">
        <w:t>VA-2120625-CAI</w:t>
      </w:r>
      <w:r>
        <w:t xml:space="preserve">, </w:t>
      </w:r>
      <w:r w:rsidR="00014F41">
        <w:t>Exhibit E</w:t>
      </w:r>
      <w:r w:rsidR="001019C1">
        <w:t xml:space="preserve"> – Service Level Agreements (SLAs)</w:t>
      </w:r>
      <w:bookmarkEnd w:id="0"/>
      <w:r w:rsidR="001019C1">
        <w:t xml:space="preserve">  </w:t>
      </w:r>
    </w:p>
    <w:p w14:paraId="4D8BE24F" w14:textId="18DCC271" w:rsidR="001019C1" w:rsidRPr="000B1875" w:rsidRDefault="001019C1" w:rsidP="001019C1">
      <w:pPr>
        <w:spacing w:after="160" w:line="259" w:lineRule="auto"/>
        <w:ind w:left="0"/>
        <w:jc w:val="left"/>
        <w:rPr>
          <w:rFonts w:ascii="Calibri" w:eastAsia="Calibri" w:hAnsi="Calibri" w:cs="Times New Roman"/>
          <w:sz w:val="22"/>
          <w:szCs w:val="22"/>
        </w:rPr>
      </w:pPr>
      <w:r w:rsidRPr="000B1875">
        <w:rPr>
          <w:rFonts w:ascii="Calibri" w:eastAsia="Calibri" w:hAnsi="Calibri" w:cs="Times New Roman"/>
          <w:sz w:val="22"/>
          <w:szCs w:val="22"/>
        </w:rPr>
        <w:t xml:space="preserve">Service Level – The minimum level of performance the Supplier agrees to adhere to for each Supplier Performance Metric. </w:t>
      </w:r>
      <w:r w:rsidR="00BA628D">
        <w:rPr>
          <w:rFonts w:ascii="Calibri" w:eastAsia="Calibri" w:hAnsi="Calibri" w:cs="Times New Roman"/>
          <w:sz w:val="22"/>
          <w:szCs w:val="22"/>
        </w:rPr>
        <w:t>Requirements which do not follow the standard process</w:t>
      </w:r>
      <w:r w:rsidR="007956A3">
        <w:rPr>
          <w:rFonts w:ascii="Calibri" w:eastAsia="Calibri" w:hAnsi="Calibri" w:cs="Times New Roman"/>
          <w:sz w:val="22"/>
          <w:szCs w:val="22"/>
        </w:rPr>
        <w:t>, as agreed to by the parti</w:t>
      </w:r>
      <w:bookmarkStart w:id="1" w:name="_GoBack"/>
      <w:bookmarkEnd w:id="1"/>
      <w:r w:rsidR="007956A3">
        <w:rPr>
          <w:rFonts w:ascii="Calibri" w:eastAsia="Calibri" w:hAnsi="Calibri" w:cs="Times New Roman"/>
          <w:sz w:val="22"/>
          <w:szCs w:val="22"/>
        </w:rPr>
        <w:t>es,</w:t>
      </w:r>
      <w:r w:rsidR="00BA628D">
        <w:rPr>
          <w:rFonts w:ascii="Calibri" w:eastAsia="Calibri" w:hAnsi="Calibri" w:cs="Times New Roman"/>
          <w:sz w:val="22"/>
          <w:szCs w:val="22"/>
        </w:rPr>
        <w:t xml:space="preserve"> are exempt from SLAs.</w:t>
      </w:r>
    </w:p>
    <w:p w14:paraId="0A75D110" w14:textId="43AC068E" w:rsidR="001019C1" w:rsidRDefault="001019C1" w:rsidP="001019C1">
      <w:pPr>
        <w:ind w:left="0"/>
        <w:rPr>
          <w:rFonts w:ascii="Calibri" w:eastAsia="Calibri" w:hAnsi="Calibri" w:cs="Times New Roman"/>
          <w:sz w:val="22"/>
          <w:szCs w:val="22"/>
        </w:rPr>
      </w:pPr>
      <w:r w:rsidRPr="000B1875">
        <w:rPr>
          <w:rFonts w:ascii="Calibri" w:eastAsia="Calibri" w:hAnsi="Calibri" w:cs="Times New Roman"/>
          <w:sz w:val="22"/>
          <w:szCs w:val="22"/>
        </w:rPr>
        <w:t>Remedies – The credits and/or remedies that will be available to an Authorized User for Supplier’s failure to meet the required Service Levels. (For the corresponding remedies for Supplier’s failure to comply with the Service Levels, See Contract Section 12 e</w:t>
      </w:r>
      <w:r w:rsidR="002D6DB7">
        <w:rPr>
          <w:rFonts w:ascii="Calibri" w:eastAsia="Calibri" w:hAnsi="Calibri" w:cs="Times New Roman"/>
          <w:sz w:val="22"/>
          <w:szCs w:val="22"/>
        </w:rPr>
        <w:t>ntitled Service Level Agreement</w:t>
      </w:r>
      <w:r w:rsidRPr="000B1875">
        <w:rPr>
          <w:rFonts w:ascii="Calibri" w:eastAsia="Calibri" w:hAnsi="Calibri" w:cs="Times New Roman"/>
          <w:sz w:val="22"/>
          <w:szCs w:val="22"/>
        </w:rPr>
        <w:t xml:space="preserve"> Remedies and Credits.)</w:t>
      </w:r>
    </w:p>
    <w:tbl>
      <w:tblPr>
        <w:tblW w:w="12649" w:type="dxa"/>
        <w:tblInd w:w="-7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shd w:val="clear" w:color="auto" w:fill="00FFFF"/>
        <w:tblLayout w:type="fixed"/>
        <w:tblLook w:val="0000" w:firstRow="0" w:lastRow="0" w:firstColumn="0" w:lastColumn="0" w:noHBand="0" w:noVBand="0"/>
      </w:tblPr>
      <w:tblGrid>
        <w:gridCol w:w="2029"/>
        <w:gridCol w:w="3960"/>
        <w:gridCol w:w="1800"/>
        <w:gridCol w:w="3420"/>
        <w:gridCol w:w="1440"/>
      </w:tblGrid>
      <w:tr w:rsidR="001019C1" w:rsidRPr="000B1875" w14:paraId="6BA33D28" w14:textId="77777777" w:rsidTr="00526B5A">
        <w:trPr>
          <w:cantSplit/>
          <w:trHeight w:val="882"/>
          <w:tblHeader/>
        </w:trPr>
        <w:tc>
          <w:tcPr>
            <w:tcW w:w="2029" w:type="dxa"/>
            <w:shd w:val="clear" w:color="auto" w:fill="DEEAF6"/>
          </w:tcPr>
          <w:p w14:paraId="64E1F68D" w14:textId="77777777" w:rsidR="001019C1" w:rsidRPr="000B1875" w:rsidRDefault="001019C1" w:rsidP="00E3743D">
            <w:pPr>
              <w:spacing w:after="120" w:line="259" w:lineRule="auto"/>
              <w:ind w:left="0"/>
              <w:jc w:val="center"/>
              <w:rPr>
                <w:rFonts w:ascii="Calibri" w:eastAsia="Times New Roman" w:hAnsi="Calibri" w:cs="Times New Roman"/>
                <w:b/>
                <w:snapToGrid w:val="0"/>
                <w:color w:val="000000"/>
                <w:sz w:val="22"/>
                <w:szCs w:val="22"/>
              </w:rPr>
            </w:pPr>
            <w:r w:rsidRPr="000B1875">
              <w:rPr>
                <w:rFonts w:ascii="Calibri" w:eastAsia="Times New Roman" w:hAnsi="Calibri" w:cs="Times New Roman"/>
                <w:b/>
                <w:snapToGrid w:val="0"/>
                <w:color w:val="000000"/>
                <w:sz w:val="22"/>
                <w:szCs w:val="22"/>
              </w:rPr>
              <w:t>Supplier Performance Metric</w:t>
            </w:r>
          </w:p>
        </w:tc>
        <w:tc>
          <w:tcPr>
            <w:tcW w:w="3960" w:type="dxa"/>
            <w:shd w:val="clear" w:color="auto" w:fill="DEEAF6"/>
          </w:tcPr>
          <w:p w14:paraId="4BBC71B6" w14:textId="77777777" w:rsidR="001019C1" w:rsidRPr="000B1875" w:rsidRDefault="001019C1" w:rsidP="00E3743D">
            <w:pPr>
              <w:spacing w:after="120" w:line="259" w:lineRule="auto"/>
              <w:ind w:left="0"/>
              <w:jc w:val="center"/>
              <w:rPr>
                <w:rFonts w:ascii="Calibri" w:eastAsia="Times New Roman" w:hAnsi="Calibri" w:cs="Times New Roman"/>
                <w:b/>
                <w:snapToGrid w:val="0"/>
                <w:color w:val="000000"/>
                <w:sz w:val="22"/>
                <w:szCs w:val="22"/>
              </w:rPr>
            </w:pPr>
            <w:r w:rsidRPr="000B1875">
              <w:rPr>
                <w:rFonts w:ascii="Calibri" w:eastAsia="Times New Roman" w:hAnsi="Calibri" w:cs="Times New Roman"/>
                <w:b/>
                <w:snapToGrid w:val="0"/>
                <w:color w:val="000000"/>
                <w:sz w:val="22"/>
                <w:szCs w:val="22"/>
              </w:rPr>
              <w:t>Description</w:t>
            </w:r>
          </w:p>
        </w:tc>
        <w:tc>
          <w:tcPr>
            <w:tcW w:w="1800" w:type="dxa"/>
            <w:shd w:val="clear" w:color="auto" w:fill="DEEAF6"/>
          </w:tcPr>
          <w:p w14:paraId="176341F0" w14:textId="77777777" w:rsidR="001019C1" w:rsidRPr="000B1875" w:rsidRDefault="001019C1" w:rsidP="00E3743D">
            <w:pPr>
              <w:spacing w:after="120" w:line="259" w:lineRule="auto"/>
              <w:ind w:left="0"/>
              <w:jc w:val="center"/>
              <w:rPr>
                <w:rFonts w:ascii="Calibri" w:eastAsia="Times New Roman" w:hAnsi="Calibri" w:cs="Times New Roman"/>
                <w:b/>
                <w:snapToGrid w:val="0"/>
                <w:color w:val="000000"/>
                <w:sz w:val="22"/>
                <w:szCs w:val="22"/>
              </w:rPr>
            </w:pPr>
            <w:r w:rsidRPr="000B1875">
              <w:rPr>
                <w:rFonts w:ascii="Calibri" w:eastAsia="Times New Roman" w:hAnsi="Calibri" w:cs="Times New Roman"/>
                <w:b/>
                <w:snapToGrid w:val="0"/>
                <w:color w:val="000000"/>
                <w:sz w:val="22"/>
                <w:szCs w:val="22"/>
              </w:rPr>
              <w:t>Performance Target</w:t>
            </w:r>
          </w:p>
        </w:tc>
        <w:tc>
          <w:tcPr>
            <w:tcW w:w="3420" w:type="dxa"/>
            <w:shd w:val="clear" w:color="auto" w:fill="DEEAF6"/>
          </w:tcPr>
          <w:p w14:paraId="55E56077" w14:textId="77777777" w:rsidR="001019C1" w:rsidRPr="000B1875" w:rsidRDefault="001019C1" w:rsidP="00E3743D">
            <w:pPr>
              <w:spacing w:after="120" w:line="259" w:lineRule="auto"/>
              <w:ind w:left="0"/>
              <w:jc w:val="center"/>
              <w:rPr>
                <w:rFonts w:ascii="Calibri" w:eastAsia="Times New Roman" w:hAnsi="Calibri" w:cs="Times New Roman"/>
                <w:b/>
                <w:snapToGrid w:val="0"/>
                <w:color w:val="000000"/>
                <w:sz w:val="22"/>
                <w:szCs w:val="22"/>
              </w:rPr>
            </w:pPr>
            <w:r w:rsidRPr="000B1875">
              <w:rPr>
                <w:rFonts w:ascii="Calibri" w:eastAsia="Times New Roman" w:hAnsi="Calibri" w:cs="Times New Roman"/>
                <w:b/>
                <w:snapToGrid w:val="0"/>
                <w:color w:val="000000"/>
                <w:sz w:val="22"/>
                <w:szCs w:val="22"/>
              </w:rPr>
              <w:t>Calculation</w:t>
            </w:r>
          </w:p>
        </w:tc>
        <w:tc>
          <w:tcPr>
            <w:tcW w:w="1440" w:type="dxa"/>
            <w:shd w:val="clear" w:color="auto" w:fill="DEEAF6"/>
          </w:tcPr>
          <w:p w14:paraId="5BB28B9F" w14:textId="77777777" w:rsidR="001019C1" w:rsidRPr="000B1875" w:rsidRDefault="001019C1" w:rsidP="00E3743D">
            <w:pPr>
              <w:spacing w:after="120" w:line="259" w:lineRule="auto"/>
              <w:ind w:left="0"/>
              <w:jc w:val="center"/>
              <w:rPr>
                <w:rFonts w:ascii="Calibri" w:eastAsia="Times New Roman" w:hAnsi="Calibri" w:cs="Times New Roman"/>
                <w:b/>
                <w:snapToGrid w:val="0"/>
                <w:color w:val="000000"/>
                <w:sz w:val="22"/>
                <w:szCs w:val="22"/>
              </w:rPr>
            </w:pPr>
            <w:r w:rsidRPr="000B1875">
              <w:rPr>
                <w:rFonts w:ascii="Calibri" w:eastAsia="Times New Roman" w:hAnsi="Calibri" w:cs="Times New Roman"/>
                <w:b/>
                <w:snapToGrid w:val="0"/>
                <w:color w:val="000000"/>
                <w:sz w:val="22"/>
                <w:szCs w:val="22"/>
              </w:rPr>
              <w:t>Review Frequency</w:t>
            </w:r>
          </w:p>
        </w:tc>
      </w:tr>
      <w:tr w:rsidR="001019C1" w:rsidRPr="000B1875" w14:paraId="408325BB" w14:textId="77777777" w:rsidTr="00E3743D">
        <w:trPr>
          <w:cantSplit/>
        </w:trPr>
        <w:tc>
          <w:tcPr>
            <w:tcW w:w="2029" w:type="dxa"/>
            <w:shd w:val="clear" w:color="auto" w:fill="auto"/>
          </w:tcPr>
          <w:p w14:paraId="706E2509"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p>
          <w:p w14:paraId="4C8FADB3"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Resume Submittal Response Time</w:t>
            </w:r>
          </w:p>
        </w:tc>
        <w:tc>
          <w:tcPr>
            <w:tcW w:w="3960" w:type="dxa"/>
            <w:shd w:val="clear" w:color="auto" w:fill="auto"/>
          </w:tcPr>
          <w:p w14:paraId="3F07875E" w14:textId="5430FAEF" w:rsidR="001019C1" w:rsidRPr="000B1875" w:rsidRDefault="001019C1" w:rsidP="004862C2">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 xml:space="preserve">Measures response time from Supplier’s receipt of request for a candidate to its delivery of top </w:t>
            </w:r>
            <w:r w:rsidR="004862C2">
              <w:rPr>
                <w:rFonts w:ascii="Calibri" w:eastAsia="Times New Roman" w:hAnsi="Calibri" w:cs="Times New Roman"/>
                <w:snapToGrid w:val="0"/>
                <w:color w:val="000000"/>
                <w:sz w:val="22"/>
                <w:szCs w:val="22"/>
              </w:rPr>
              <w:t>5-7</w:t>
            </w:r>
            <w:r w:rsidRPr="000B1875">
              <w:rPr>
                <w:rFonts w:ascii="Calibri" w:eastAsia="Times New Roman" w:hAnsi="Calibri" w:cs="Times New Roman"/>
                <w:snapToGrid w:val="0"/>
                <w:color w:val="000000"/>
                <w:sz w:val="22"/>
                <w:szCs w:val="22"/>
              </w:rPr>
              <w:t xml:space="preserve"> candidate resumes to requestor</w:t>
            </w:r>
          </w:p>
        </w:tc>
        <w:tc>
          <w:tcPr>
            <w:tcW w:w="1800" w:type="dxa"/>
            <w:shd w:val="clear" w:color="auto" w:fill="auto"/>
          </w:tcPr>
          <w:p w14:paraId="1EE0E4BC" w14:textId="77777777" w:rsidR="001019C1" w:rsidRPr="000B1875" w:rsidRDefault="001019C1" w:rsidP="00E3743D">
            <w:pPr>
              <w:spacing w:after="120" w:line="259" w:lineRule="auto"/>
              <w:ind w:left="0"/>
              <w:jc w:val="center"/>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 xml:space="preserve">95% </w:t>
            </w:r>
          </w:p>
        </w:tc>
        <w:tc>
          <w:tcPr>
            <w:tcW w:w="3420" w:type="dxa"/>
            <w:shd w:val="clear" w:color="auto" w:fill="auto"/>
          </w:tcPr>
          <w:p w14:paraId="34B3D3FE" w14:textId="280070C0" w:rsidR="001019C1" w:rsidRPr="000B1875" w:rsidRDefault="001019C1" w:rsidP="004862C2">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 xml:space="preserve">Average number of requisitions in which customers received </w:t>
            </w:r>
            <w:r w:rsidR="004862C2">
              <w:rPr>
                <w:rFonts w:ascii="Calibri" w:eastAsia="Times New Roman" w:hAnsi="Calibri" w:cs="Times New Roman"/>
                <w:snapToGrid w:val="0"/>
                <w:color w:val="000000"/>
                <w:sz w:val="22"/>
                <w:szCs w:val="22"/>
              </w:rPr>
              <w:t>5-7</w:t>
            </w:r>
            <w:r w:rsidRPr="000B1875">
              <w:rPr>
                <w:rFonts w:ascii="Calibri" w:eastAsia="Times New Roman" w:hAnsi="Calibri" w:cs="Times New Roman"/>
                <w:snapToGrid w:val="0"/>
                <w:color w:val="000000"/>
                <w:sz w:val="22"/>
                <w:szCs w:val="22"/>
              </w:rPr>
              <w:t xml:space="preserve"> candidate resumes for review within 4 business days</w:t>
            </w:r>
          </w:p>
        </w:tc>
        <w:tc>
          <w:tcPr>
            <w:tcW w:w="1440" w:type="dxa"/>
            <w:shd w:val="clear" w:color="auto" w:fill="auto"/>
          </w:tcPr>
          <w:p w14:paraId="71D88CFD" w14:textId="77777777" w:rsidR="001019C1" w:rsidRPr="000B1875" w:rsidRDefault="001019C1" w:rsidP="00E3743D">
            <w:pPr>
              <w:spacing w:after="120" w:line="259" w:lineRule="auto"/>
              <w:ind w:left="0"/>
              <w:jc w:val="center"/>
              <w:rPr>
                <w:rFonts w:ascii="Calibri" w:eastAsia="Times New Roman" w:hAnsi="Calibri" w:cs="Times New Roman"/>
                <w:snapToGrid w:val="0"/>
                <w:color w:val="000000"/>
                <w:sz w:val="22"/>
                <w:szCs w:val="22"/>
              </w:rPr>
            </w:pPr>
          </w:p>
          <w:p w14:paraId="1BA5BE53" w14:textId="33F23AAF" w:rsidR="001019C1" w:rsidRPr="000B1875" w:rsidRDefault="005554CF" w:rsidP="00E3743D">
            <w:pPr>
              <w:spacing w:after="120" w:line="259" w:lineRule="auto"/>
              <w:ind w:left="0"/>
              <w:jc w:val="center"/>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br/>
            </w:r>
            <w:r w:rsidR="00F24462">
              <w:rPr>
                <w:rFonts w:ascii="Calibri" w:eastAsia="Times New Roman" w:hAnsi="Calibri" w:cs="Times New Roman"/>
                <w:snapToGrid w:val="0"/>
                <w:color w:val="000000"/>
                <w:sz w:val="22"/>
                <w:szCs w:val="22"/>
              </w:rPr>
              <w:t>Quarterly</w:t>
            </w:r>
          </w:p>
        </w:tc>
      </w:tr>
      <w:tr w:rsidR="001019C1" w:rsidRPr="000B1875" w14:paraId="23A4637A" w14:textId="77777777" w:rsidTr="00E3743D">
        <w:trPr>
          <w:cantSplit/>
        </w:trPr>
        <w:tc>
          <w:tcPr>
            <w:tcW w:w="2029" w:type="dxa"/>
            <w:shd w:val="clear" w:color="auto" w:fill="auto"/>
          </w:tcPr>
          <w:p w14:paraId="024B5DE4"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p>
          <w:p w14:paraId="205D96F9"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Round One Fill Rate</w:t>
            </w:r>
          </w:p>
        </w:tc>
        <w:tc>
          <w:tcPr>
            <w:tcW w:w="3960" w:type="dxa"/>
            <w:shd w:val="clear" w:color="auto" w:fill="auto"/>
          </w:tcPr>
          <w:p w14:paraId="41758934" w14:textId="3D605921" w:rsidR="001019C1" w:rsidRPr="000B1875" w:rsidRDefault="001019C1" w:rsidP="004862C2">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 xml:space="preserve">Measures ability of Supplier to satisfactorily fulfill request with first round of resumes submitted to requestor (top </w:t>
            </w:r>
            <w:r w:rsidR="004862C2">
              <w:rPr>
                <w:rFonts w:ascii="Calibri" w:eastAsia="Times New Roman" w:hAnsi="Calibri" w:cs="Times New Roman"/>
                <w:snapToGrid w:val="0"/>
                <w:color w:val="000000"/>
                <w:sz w:val="22"/>
                <w:szCs w:val="22"/>
              </w:rPr>
              <w:t>5-7</w:t>
            </w:r>
            <w:r w:rsidRPr="000B1875">
              <w:rPr>
                <w:rFonts w:ascii="Calibri" w:eastAsia="Times New Roman" w:hAnsi="Calibri" w:cs="Times New Roman"/>
                <w:snapToGrid w:val="0"/>
                <w:color w:val="000000"/>
                <w:sz w:val="22"/>
                <w:szCs w:val="22"/>
              </w:rPr>
              <w:t xml:space="preserve"> candidates)</w:t>
            </w:r>
          </w:p>
        </w:tc>
        <w:tc>
          <w:tcPr>
            <w:tcW w:w="1800" w:type="dxa"/>
            <w:shd w:val="clear" w:color="auto" w:fill="auto"/>
          </w:tcPr>
          <w:p w14:paraId="551D69F4" w14:textId="77777777" w:rsidR="001019C1" w:rsidRPr="000B1875" w:rsidRDefault="001019C1" w:rsidP="00E3743D">
            <w:pPr>
              <w:spacing w:after="120" w:line="259" w:lineRule="auto"/>
              <w:ind w:left="0"/>
              <w:jc w:val="center"/>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90%</w:t>
            </w:r>
          </w:p>
        </w:tc>
        <w:tc>
          <w:tcPr>
            <w:tcW w:w="3420" w:type="dxa"/>
            <w:shd w:val="clear" w:color="auto" w:fill="auto"/>
          </w:tcPr>
          <w:p w14:paraId="64769C37"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Total number of filled positions resulting from the first round of resumes/total number of requisitions filled</w:t>
            </w:r>
          </w:p>
        </w:tc>
        <w:tc>
          <w:tcPr>
            <w:tcW w:w="1440" w:type="dxa"/>
            <w:shd w:val="clear" w:color="auto" w:fill="auto"/>
          </w:tcPr>
          <w:p w14:paraId="3553DD5F" w14:textId="77777777" w:rsidR="001019C1" w:rsidRPr="000B1875" w:rsidRDefault="001019C1" w:rsidP="00E3743D">
            <w:pPr>
              <w:spacing w:after="120" w:line="259" w:lineRule="auto"/>
              <w:ind w:left="0"/>
              <w:jc w:val="center"/>
              <w:rPr>
                <w:rFonts w:ascii="Calibri" w:eastAsia="Times New Roman" w:hAnsi="Calibri" w:cs="Times New Roman"/>
                <w:snapToGrid w:val="0"/>
                <w:color w:val="000000"/>
                <w:sz w:val="22"/>
                <w:szCs w:val="22"/>
              </w:rPr>
            </w:pPr>
          </w:p>
          <w:p w14:paraId="6D6054DC" w14:textId="344811C5" w:rsidR="001019C1" w:rsidRPr="000B1875" w:rsidRDefault="005554CF" w:rsidP="00E3743D">
            <w:pPr>
              <w:spacing w:after="120" w:line="259" w:lineRule="auto"/>
              <w:ind w:left="0"/>
              <w:jc w:val="center"/>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br/>
            </w:r>
            <w:r w:rsidR="00F24462">
              <w:rPr>
                <w:rFonts w:ascii="Calibri" w:eastAsia="Times New Roman" w:hAnsi="Calibri" w:cs="Times New Roman"/>
                <w:snapToGrid w:val="0"/>
                <w:color w:val="000000"/>
                <w:sz w:val="22"/>
                <w:szCs w:val="22"/>
              </w:rPr>
              <w:t>Quarterly</w:t>
            </w:r>
          </w:p>
        </w:tc>
      </w:tr>
      <w:tr w:rsidR="001019C1" w:rsidRPr="000B1875" w14:paraId="74BF6B04" w14:textId="77777777" w:rsidTr="00E3743D">
        <w:trPr>
          <w:cantSplit/>
        </w:trPr>
        <w:tc>
          <w:tcPr>
            <w:tcW w:w="2029" w:type="dxa"/>
            <w:shd w:val="clear" w:color="auto" w:fill="auto"/>
          </w:tcPr>
          <w:p w14:paraId="7488F3FE"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p>
          <w:p w14:paraId="45054BB6"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Attrition</w:t>
            </w:r>
          </w:p>
        </w:tc>
        <w:tc>
          <w:tcPr>
            <w:tcW w:w="3960" w:type="dxa"/>
            <w:shd w:val="clear" w:color="auto" w:fill="auto"/>
          </w:tcPr>
          <w:p w14:paraId="77366971"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Measures unplanned resource turnover not due to inadequate performance or other situations not caused by the Commonwealth of Virginia</w:t>
            </w:r>
          </w:p>
        </w:tc>
        <w:tc>
          <w:tcPr>
            <w:tcW w:w="1800" w:type="dxa"/>
            <w:shd w:val="clear" w:color="auto" w:fill="auto"/>
          </w:tcPr>
          <w:p w14:paraId="7D781C91" w14:textId="77777777" w:rsidR="001019C1" w:rsidRPr="000B1875" w:rsidRDefault="001019C1" w:rsidP="00E3743D">
            <w:pPr>
              <w:spacing w:after="120" w:line="259" w:lineRule="auto"/>
              <w:ind w:left="0"/>
              <w:jc w:val="center"/>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5% or lower</w:t>
            </w:r>
          </w:p>
        </w:tc>
        <w:tc>
          <w:tcPr>
            <w:tcW w:w="3420" w:type="dxa"/>
            <w:shd w:val="clear" w:color="auto" w:fill="auto"/>
          </w:tcPr>
          <w:p w14:paraId="03ECE515" w14:textId="2F95B34E"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Total number of resource</w:t>
            </w:r>
            <w:r w:rsidR="007F54A7">
              <w:rPr>
                <w:rFonts w:ascii="Calibri" w:eastAsia="Times New Roman" w:hAnsi="Calibri" w:cs="Times New Roman"/>
                <w:snapToGrid w:val="0"/>
                <w:color w:val="000000"/>
                <w:sz w:val="22"/>
                <w:szCs w:val="22"/>
              </w:rPr>
              <w:t>s</w:t>
            </w:r>
            <w:r w:rsidRPr="000B1875">
              <w:rPr>
                <w:rFonts w:ascii="Calibri" w:eastAsia="Times New Roman" w:hAnsi="Calibri" w:cs="Times New Roman"/>
                <w:snapToGrid w:val="0"/>
                <w:color w:val="000000"/>
                <w:sz w:val="22"/>
                <w:szCs w:val="22"/>
              </w:rPr>
              <w:t xml:space="preserve"> that leave voluntarily</w:t>
            </w:r>
            <w:r w:rsidR="0017462E">
              <w:rPr>
                <w:rFonts w:ascii="Calibri" w:eastAsia="Times New Roman" w:hAnsi="Calibri" w:cs="Times New Roman"/>
                <w:snapToGrid w:val="0"/>
                <w:color w:val="000000"/>
                <w:sz w:val="22"/>
                <w:szCs w:val="22"/>
              </w:rPr>
              <w:t xml:space="preserve"> in the quarter </w:t>
            </w:r>
            <w:r w:rsidRPr="000B1875">
              <w:rPr>
                <w:rFonts w:ascii="Calibri" w:eastAsia="Times New Roman" w:hAnsi="Calibri" w:cs="Times New Roman"/>
                <w:snapToGrid w:val="0"/>
                <w:color w:val="000000"/>
                <w:sz w:val="22"/>
                <w:szCs w:val="22"/>
              </w:rPr>
              <w:t>/</w:t>
            </w:r>
            <w:r w:rsidR="00F24462">
              <w:rPr>
                <w:rFonts w:ascii="Calibri" w:eastAsia="Times New Roman" w:hAnsi="Calibri" w:cs="Times New Roman"/>
                <w:snapToGrid w:val="0"/>
                <w:color w:val="000000"/>
                <w:sz w:val="22"/>
                <w:szCs w:val="22"/>
              </w:rPr>
              <w:t>total</w:t>
            </w:r>
            <w:r w:rsidRPr="000B1875">
              <w:rPr>
                <w:rFonts w:ascii="Calibri" w:eastAsia="Times New Roman" w:hAnsi="Calibri" w:cs="Times New Roman"/>
                <w:snapToGrid w:val="0"/>
                <w:color w:val="000000"/>
                <w:sz w:val="22"/>
                <w:szCs w:val="22"/>
              </w:rPr>
              <w:t xml:space="preserve"> number of resources for the quarter</w:t>
            </w:r>
          </w:p>
        </w:tc>
        <w:tc>
          <w:tcPr>
            <w:tcW w:w="1440" w:type="dxa"/>
            <w:shd w:val="clear" w:color="auto" w:fill="auto"/>
          </w:tcPr>
          <w:p w14:paraId="321D1A97" w14:textId="77777777" w:rsidR="001019C1" w:rsidRPr="000B1875" w:rsidRDefault="001019C1" w:rsidP="00E3743D">
            <w:pPr>
              <w:spacing w:after="120" w:line="259" w:lineRule="auto"/>
              <w:ind w:left="0"/>
              <w:jc w:val="center"/>
              <w:rPr>
                <w:rFonts w:ascii="Calibri" w:eastAsia="Times New Roman" w:hAnsi="Calibri" w:cs="Times New Roman"/>
                <w:snapToGrid w:val="0"/>
                <w:color w:val="000000"/>
                <w:sz w:val="22"/>
                <w:szCs w:val="22"/>
              </w:rPr>
            </w:pPr>
          </w:p>
          <w:p w14:paraId="2191E308" w14:textId="77777777" w:rsidR="001019C1" w:rsidRPr="000B1875" w:rsidRDefault="001019C1" w:rsidP="00E3743D">
            <w:pPr>
              <w:spacing w:after="120" w:line="259" w:lineRule="auto"/>
              <w:ind w:left="0"/>
              <w:jc w:val="center"/>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Quarterly</w:t>
            </w:r>
          </w:p>
        </w:tc>
      </w:tr>
      <w:tr w:rsidR="001019C1" w:rsidRPr="000B1875" w14:paraId="4239DBD2" w14:textId="77777777" w:rsidTr="00E3743D">
        <w:trPr>
          <w:cantSplit/>
        </w:trPr>
        <w:tc>
          <w:tcPr>
            <w:tcW w:w="2029" w:type="dxa"/>
            <w:shd w:val="clear" w:color="auto" w:fill="auto"/>
          </w:tcPr>
          <w:p w14:paraId="6E7972BC"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p>
          <w:p w14:paraId="443380EB" w14:textId="1D0C86FD" w:rsidR="001019C1" w:rsidRPr="000B1875" w:rsidRDefault="00B1281F" w:rsidP="00E3743D">
            <w:pPr>
              <w:spacing w:after="120" w:line="259" w:lineRule="auto"/>
              <w:ind w:left="0"/>
              <w:jc w:val="left"/>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t>Closed/Cancelled Requisitions</w:t>
            </w:r>
          </w:p>
        </w:tc>
        <w:tc>
          <w:tcPr>
            <w:tcW w:w="3960" w:type="dxa"/>
            <w:shd w:val="clear" w:color="auto" w:fill="auto"/>
          </w:tcPr>
          <w:p w14:paraId="06E5A37F" w14:textId="04A34E9D" w:rsidR="001019C1" w:rsidRPr="000B1875" w:rsidRDefault="00B1281F" w:rsidP="00E3743D">
            <w:pPr>
              <w:spacing w:after="120" w:line="259" w:lineRule="auto"/>
              <w:ind w:left="0"/>
              <w:jc w:val="left"/>
              <w:rPr>
                <w:rFonts w:ascii="Calibri" w:eastAsia="Times New Roman" w:hAnsi="Calibri" w:cs="Times New Roman"/>
                <w:snapToGrid w:val="0"/>
                <w:color w:val="000000"/>
                <w:sz w:val="22"/>
                <w:szCs w:val="22"/>
              </w:rPr>
            </w:pPr>
            <w:r>
              <w:t>Measures requisitions that are closed due to an inability to fill</w:t>
            </w:r>
          </w:p>
        </w:tc>
        <w:tc>
          <w:tcPr>
            <w:tcW w:w="1800" w:type="dxa"/>
            <w:shd w:val="clear" w:color="auto" w:fill="auto"/>
          </w:tcPr>
          <w:p w14:paraId="32BDF6BC" w14:textId="080B8114" w:rsidR="001019C1" w:rsidRPr="000B1875" w:rsidRDefault="00B1281F" w:rsidP="00E3743D">
            <w:pPr>
              <w:spacing w:after="120" w:line="259" w:lineRule="auto"/>
              <w:ind w:left="0"/>
              <w:jc w:val="center"/>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t>8% or lower</w:t>
            </w:r>
          </w:p>
        </w:tc>
        <w:tc>
          <w:tcPr>
            <w:tcW w:w="3420" w:type="dxa"/>
            <w:shd w:val="clear" w:color="auto" w:fill="auto"/>
          </w:tcPr>
          <w:p w14:paraId="3CAF5B98" w14:textId="619422B4" w:rsidR="00B1281F" w:rsidRPr="000B1875" w:rsidRDefault="00B1281F" w:rsidP="00E3743D">
            <w:pPr>
              <w:spacing w:after="120" w:line="259" w:lineRule="auto"/>
              <w:ind w:left="0"/>
              <w:jc w:val="left"/>
              <w:rPr>
                <w:rFonts w:ascii="Calibri" w:eastAsia="Times New Roman" w:hAnsi="Calibri" w:cs="Times New Roman"/>
                <w:snapToGrid w:val="0"/>
                <w:color w:val="000000"/>
                <w:sz w:val="22"/>
                <w:szCs w:val="22"/>
              </w:rPr>
            </w:pPr>
            <w:r>
              <w:t>Total number of requisitions closed/cancelled in the previous quarter / total number of requisitions opened in the previous quarter</w:t>
            </w:r>
          </w:p>
        </w:tc>
        <w:tc>
          <w:tcPr>
            <w:tcW w:w="1440" w:type="dxa"/>
            <w:shd w:val="clear" w:color="auto" w:fill="auto"/>
          </w:tcPr>
          <w:p w14:paraId="2E59B322" w14:textId="0B044A4E" w:rsidR="001019C1" w:rsidRPr="000B1875" w:rsidRDefault="005554CF" w:rsidP="00E3743D">
            <w:pPr>
              <w:spacing w:after="120" w:line="259" w:lineRule="auto"/>
              <w:ind w:left="0"/>
              <w:jc w:val="center"/>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br/>
            </w:r>
            <w:r w:rsidR="00F24462">
              <w:rPr>
                <w:rFonts w:ascii="Calibri" w:eastAsia="Times New Roman" w:hAnsi="Calibri" w:cs="Times New Roman"/>
                <w:snapToGrid w:val="0"/>
                <w:color w:val="000000"/>
                <w:sz w:val="22"/>
                <w:szCs w:val="22"/>
              </w:rPr>
              <w:t>Quarterly</w:t>
            </w:r>
          </w:p>
        </w:tc>
      </w:tr>
      <w:tr w:rsidR="001019C1" w:rsidRPr="000B1875" w14:paraId="2E16F392" w14:textId="77777777" w:rsidTr="00E3743D">
        <w:trPr>
          <w:cantSplit/>
        </w:trPr>
        <w:tc>
          <w:tcPr>
            <w:tcW w:w="2029" w:type="dxa"/>
            <w:shd w:val="clear" w:color="auto" w:fill="auto"/>
          </w:tcPr>
          <w:p w14:paraId="40B2D12B"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p>
          <w:p w14:paraId="270F3C35"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Resource Dismissal</w:t>
            </w:r>
          </w:p>
        </w:tc>
        <w:tc>
          <w:tcPr>
            <w:tcW w:w="3960" w:type="dxa"/>
            <w:shd w:val="clear" w:color="auto" w:fill="auto"/>
          </w:tcPr>
          <w:p w14:paraId="0E859213"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Measures number of resources dismissed due to inadequate resource performance</w:t>
            </w:r>
          </w:p>
        </w:tc>
        <w:tc>
          <w:tcPr>
            <w:tcW w:w="1800" w:type="dxa"/>
            <w:shd w:val="clear" w:color="auto" w:fill="auto"/>
          </w:tcPr>
          <w:p w14:paraId="3541AE0E"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5% or lower</w:t>
            </w:r>
          </w:p>
        </w:tc>
        <w:tc>
          <w:tcPr>
            <w:tcW w:w="3420" w:type="dxa"/>
            <w:shd w:val="clear" w:color="auto" w:fill="auto"/>
          </w:tcPr>
          <w:p w14:paraId="33BF300B" w14:textId="3EA34FED"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 xml:space="preserve">Number of </w:t>
            </w:r>
            <w:r w:rsidR="00E277F0">
              <w:rPr>
                <w:rFonts w:ascii="Calibri" w:eastAsia="Times New Roman" w:hAnsi="Calibri" w:cs="Times New Roman"/>
                <w:snapToGrid w:val="0"/>
                <w:color w:val="000000"/>
                <w:sz w:val="22"/>
                <w:szCs w:val="22"/>
              </w:rPr>
              <w:t>dismissals</w:t>
            </w:r>
            <w:r w:rsidR="0017462E">
              <w:rPr>
                <w:rFonts w:ascii="Calibri" w:eastAsia="Times New Roman" w:hAnsi="Calibri" w:cs="Times New Roman"/>
                <w:snapToGrid w:val="0"/>
                <w:color w:val="000000"/>
                <w:sz w:val="22"/>
                <w:szCs w:val="22"/>
              </w:rPr>
              <w:t xml:space="preserve"> in the quarter</w:t>
            </w:r>
            <w:r w:rsidRPr="000B1875">
              <w:rPr>
                <w:rFonts w:ascii="Calibri" w:eastAsia="Times New Roman" w:hAnsi="Calibri" w:cs="Times New Roman"/>
                <w:snapToGrid w:val="0"/>
                <w:color w:val="000000"/>
                <w:sz w:val="22"/>
                <w:szCs w:val="22"/>
              </w:rPr>
              <w:t xml:space="preserve"> (due to inadequate performance)/total number of resources</w:t>
            </w:r>
            <w:r w:rsidR="0017462E">
              <w:rPr>
                <w:rFonts w:ascii="Calibri" w:eastAsia="Times New Roman" w:hAnsi="Calibri" w:cs="Times New Roman"/>
                <w:snapToGrid w:val="0"/>
                <w:color w:val="000000"/>
                <w:sz w:val="22"/>
                <w:szCs w:val="22"/>
              </w:rPr>
              <w:t xml:space="preserve"> in the quarter</w:t>
            </w:r>
          </w:p>
        </w:tc>
        <w:tc>
          <w:tcPr>
            <w:tcW w:w="1440" w:type="dxa"/>
            <w:shd w:val="clear" w:color="auto" w:fill="auto"/>
          </w:tcPr>
          <w:p w14:paraId="48A2F17C" w14:textId="1A3E1CC7" w:rsidR="001019C1" w:rsidRPr="000B1875" w:rsidRDefault="005554CF" w:rsidP="00E3743D">
            <w:pPr>
              <w:spacing w:after="120" w:line="259" w:lineRule="auto"/>
              <w:ind w:left="0"/>
              <w:jc w:val="center"/>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br/>
            </w:r>
            <w:r w:rsidR="0017462E">
              <w:rPr>
                <w:rFonts w:ascii="Calibri" w:eastAsia="Times New Roman" w:hAnsi="Calibri" w:cs="Times New Roman"/>
                <w:snapToGrid w:val="0"/>
                <w:color w:val="000000"/>
                <w:sz w:val="22"/>
                <w:szCs w:val="22"/>
              </w:rPr>
              <w:t>Quarterly</w:t>
            </w:r>
          </w:p>
        </w:tc>
      </w:tr>
      <w:tr w:rsidR="001019C1" w:rsidRPr="000B1875" w14:paraId="1A967FC5" w14:textId="77777777" w:rsidTr="00E3743D">
        <w:trPr>
          <w:cantSplit/>
        </w:trPr>
        <w:tc>
          <w:tcPr>
            <w:tcW w:w="2029" w:type="dxa"/>
            <w:shd w:val="clear" w:color="auto" w:fill="auto"/>
          </w:tcPr>
          <w:p w14:paraId="7A41E98F"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p>
          <w:p w14:paraId="4DAA12A0"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Accurate Billing</w:t>
            </w:r>
          </w:p>
        </w:tc>
        <w:tc>
          <w:tcPr>
            <w:tcW w:w="3960" w:type="dxa"/>
            <w:shd w:val="clear" w:color="auto" w:fill="auto"/>
          </w:tcPr>
          <w:p w14:paraId="109971C0"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Monthly invoice is complete and correct, submitted on time</w:t>
            </w:r>
          </w:p>
        </w:tc>
        <w:tc>
          <w:tcPr>
            <w:tcW w:w="1800" w:type="dxa"/>
            <w:shd w:val="clear" w:color="auto" w:fill="auto"/>
          </w:tcPr>
          <w:p w14:paraId="69AD7C42"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99% or higher</w:t>
            </w:r>
          </w:p>
        </w:tc>
        <w:tc>
          <w:tcPr>
            <w:tcW w:w="3420" w:type="dxa"/>
            <w:shd w:val="clear" w:color="auto" w:fill="auto"/>
          </w:tcPr>
          <w:p w14:paraId="3F84E1F1" w14:textId="6AB48C78"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Number of invoices refused for payment due to inaccurate data</w:t>
            </w:r>
            <w:r w:rsidR="0017462E">
              <w:rPr>
                <w:rFonts w:ascii="Calibri" w:eastAsia="Times New Roman" w:hAnsi="Calibri" w:cs="Times New Roman"/>
                <w:snapToGrid w:val="0"/>
                <w:color w:val="000000"/>
                <w:sz w:val="22"/>
                <w:szCs w:val="22"/>
              </w:rPr>
              <w:t xml:space="preserve"> (</w:t>
            </w:r>
            <w:r w:rsidR="0017462E" w:rsidRPr="000B1875">
              <w:rPr>
                <w:rFonts w:ascii="Calibri" w:eastAsia="Times New Roman" w:hAnsi="Calibri" w:cs="Times New Roman"/>
                <w:snapToGrid w:val="0"/>
                <w:color w:val="000000"/>
                <w:sz w:val="22"/>
                <w:szCs w:val="22"/>
              </w:rPr>
              <w:t xml:space="preserve">not caused by the Commonwealth of Virginia </w:t>
            </w:r>
            <w:r w:rsidR="0017462E">
              <w:rPr>
                <w:rFonts w:ascii="Calibri" w:eastAsia="Times New Roman" w:hAnsi="Calibri" w:cs="Times New Roman"/>
                <w:snapToGrid w:val="0"/>
                <w:color w:val="000000"/>
                <w:sz w:val="22"/>
                <w:szCs w:val="22"/>
              </w:rPr>
              <w:t>)</w:t>
            </w:r>
            <w:r w:rsidRPr="000B1875">
              <w:rPr>
                <w:rFonts w:ascii="Calibri" w:eastAsia="Times New Roman" w:hAnsi="Calibri" w:cs="Times New Roman"/>
                <w:snapToGrid w:val="0"/>
                <w:color w:val="000000"/>
                <w:sz w:val="22"/>
                <w:szCs w:val="22"/>
              </w:rPr>
              <w:t>/total number of invoices</w:t>
            </w:r>
          </w:p>
        </w:tc>
        <w:tc>
          <w:tcPr>
            <w:tcW w:w="1440" w:type="dxa"/>
            <w:shd w:val="clear" w:color="auto" w:fill="auto"/>
          </w:tcPr>
          <w:p w14:paraId="67DCBEF4" w14:textId="5BE2C46D" w:rsidR="001019C1" w:rsidRPr="000B1875" w:rsidRDefault="005554CF" w:rsidP="00E3743D">
            <w:pPr>
              <w:spacing w:after="120" w:line="259" w:lineRule="auto"/>
              <w:ind w:left="0"/>
              <w:jc w:val="center"/>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br/>
            </w:r>
            <w:r w:rsidR="0017462E">
              <w:rPr>
                <w:rFonts w:ascii="Calibri" w:eastAsia="Times New Roman" w:hAnsi="Calibri" w:cs="Times New Roman"/>
                <w:snapToGrid w:val="0"/>
                <w:color w:val="000000"/>
                <w:sz w:val="22"/>
                <w:szCs w:val="22"/>
              </w:rPr>
              <w:t>Quarterly</w:t>
            </w:r>
          </w:p>
        </w:tc>
      </w:tr>
      <w:tr w:rsidR="001019C1" w:rsidRPr="000B1875" w14:paraId="24447292" w14:textId="77777777" w:rsidTr="00E3743D">
        <w:trPr>
          <w:cantSplit/>
        </w:trPr>
        <w:tc>
          <w:tcPr>
            <w:tcW w:w="2029" w:type="dxa"/>
            <w:shd w:val="clear" w:color="auto" w:fill="auto"/>
          </w:tcPr>
          <w:p w14:paraId="1AB055FA"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p>
          <w:p w14:paraId="79DF0E24"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Payment Timeliness of Subcontractors</w:t>
            </w:r>
          </w:p>
        </w:tc>
        <w:tc>
          <w:tcPr>
            <w:tcW w:w="3960" w:type="dxa"/>
            <w:shd w:val="clear" w:color="auto" w:fill="auto"/>
          </w:tcPr>
          <w:p w14:paraId="7D2E6F5D"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 xml:space="preserve">Payments to staffing providers should be issued within 7 days of receipt of payment from the Commonwealth of Virginia </w:t>
            </w:r>
          </w:p>
        </w:tc>
        <w:tc>
          <w:tcPr>
            <w:tcW w:w="1800" w:type="dxa"/>
            <w:shd w:val="clear" w:color="auto" w:fill="auto"/>
          </w:tcPr>
          <w:p w14:paraId="79733F63" w14:textId="77777777" w:rsidR="001019C1" w:rsidRPr="000B1875" w:rsidRDefault="001019C1" w:rsidP="00E3743D">
            <w:pPr>
              <w:spacing w:after="120" w:line="259" w:lineRule="auto"/>
              <w:ind w:left="0"/>
              <w:jc w:val="center"/>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99% or higher</w:t>
            </w:r>
          </w:p>
        </w:tc>
        <w:tc>
          <w:tcPr>
            <w:tcW w:w="3420" w:type="dxa"/>
            <w:shd w:val="clear" w:color="auto" w:fill="auto"/>
          </w:tcPr>
          <w:p w14:paraId="5553BBDD" w14:textId="2D244817" w:rsidR="001019C1" w:rsidRPr="000B1875" w:rsidRDefault="00B1281F" w:rsidP="00E3743D">
            <w:pPr>
              <w:spacing w:after="120" w:line="259" w:lineRule="auto"/>
              <w:ind w:left="0"/>
              <w:jc w:val="left"/>
              <w:rPr>
                <w:rFonts w:ascii="Calibri" w:eastAsia="Times New Roman" w:hAnsi="Calibri" w:cs="Times New Roman"/>
                <w:snapToGrid w:val="0"/>
                <w:color w:val="000000"/>
                <w:sz w:val="22"/>
                <w:szCs w:val="22"/>
              </w:rPr>
            </w:pPr>
            <w:r>
              <w:t>Number of payments made to subcontractors accurately and within 7 days of receipt of payment from the Commonwealth / Total number of payments made to subcontractors</w:t>
            </w:r>
          </w:p>
        </w:tc>
        <w:tc>
          <w:tcPr>
            <w:tcW w:w="1440" w:type="dxa"/>
            <w:shd w:val="clear" w:color="auto" w:fill="auto"/>
          </w:tcPr>
          <w:p w14:paraId="085AF3B7" w14:textId="63EE5AF1" w:rsidR="001019C1" w:rsidRPr="000B1875" w:rsidRDefault="0017462E" w:rsidP="00E3743D">
            <w:pPr>
              <w:spacing w:after="120" w:line="259" w:lineRule="auto"/>
              <w:ind w:left="0"/>
              <w:jc w:val="center"/>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t>Quarterly</w:t>
            </w:r>
            <w:r w:rsidR="005554CF">
              <w:rPr>
                <w:rFonts w:ascii="Calibri" w:eastAsia="Times New Roman" w:hAnsi="Calibri" w:cs="Times New Roman"/>
                <w:snapToGrid w:val="0"/>
                <w:color w:val="000000"/>
                <w:sz w:val="22"/>
                <w:szCs w:val="22"/>
              </w:rPr>
              <w:br/>
            </w:r>
          </w:p>
        </w:tc>
      </w:tr>
      <w:tr w:rsidR="001019C1" w:rsidRPr="000B1875" w14:paraId="2A5A5F2C" w14:textId="77777777" w:rsidTr="00E3743D">
        <w:trPr>
          <w:cantSplit/>
        </w:trPr>
        <w:tc>
          <w:tcPr>
            <w:tcW w:w="2029" w:type="dxa"/>
            <w:shd w:val="clear" w:color="auto" w:fill="auto"/>
          </w:tcPr>
          <w:p w14:paraId="70EC22A1"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p>
          <w:p w14:paraId="2DF9614B"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Customer Satisfaction for MSP Services</w:t>
            </w:r>
          </w:p>
        </w:tc>
        <w:tc>
          <w:tcPr>
            <w:tcW w:w="3960" w:type="dxa"/>
            <w:shd w:val="clear" w:color="auto" w:fill="auto"/>
          </w:tcPr>
          <w:p w14:paraId="161B55EA" w14:textId="1352E095"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z w:val="22"/>
                <w:szCs w:val="22"/>
              </w:rPr>
              <w:t xml:space="preserve">Results measuring effectiveness and responsiveness of MSP for service provision within the scope of this contract </w:t>
            </w:r>
          </w:p>
        </w:tc>
        <w:tc>
          <w:tcPr>
            <w:tcW w:w="1800" w:type="dxa"/>
            <w:shd w:val="clear" w:color="auto" w:fill="auto"/>
          </w:tcPr>
          <w:p w14:paraId="31BBB452" w14:textId="4A23BF6B" w:rsidR="001019C1" w:rsidRPr="000B1875" w:rsidRDefault="00E277F0" w:rsidP="00E3743D">
            <w:pPr>
              <w:spacing w:after="120" w:line="259" w:lineRule="auto"/>
              <w:ind w:left="0"/>
              <w:jc w:val="center"/>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t>100</w:t>
            </w:r>
            <w:r w:rsidR="00502F04">
              <w:rPr>
                <w:rFonts w:ascii="Calibri" w:eastAsia="Times New Roman" w:hAnsi="Calibri" w:cs="Times New Roman"/>
                <w:snapToGrid w:val="0"/>
                <w:color w:val="000000"/>
                <w:sz w:val="22"/>
                <w:szCs w:val="22"/>
              </w:rPr>
              <w:t>%</w:t>
            </w:r>
          </w:p>
        </w:tc>
        <w:tc>
          <w:tcPr>
            <w:tcW w:w="3420" w:type="dxa"/>
            <w:shd w:val="clear" w:color="auto" w:fill="auto"/>
          </w:tcPr>
          <w:p w14:paraId="09017E1E"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Online survey provided after six months of contract execution and then annually</w:t>
            </w:r>
          </w:p>
        </w:tc>
        <w:tc>
          <w:tcPr>
            <w:tcW w:w="1440" w:type="dxa"/>
            <w:shd w:val="clear" w:color="auto" w:fill="auto"/>
          </w:tcPr>
          <w:p w14:paraId="194FED96" w14:textId="77777777" w:rsidR="001019C1" w:rsidRPr="000B1875" w:rsidRDefault="001019C1" w:rsidP="00E3743D">
            <w:pPr>
              <w:spacing w:after="120" w:line="259" w:lineRule="auto"/>
              <w:ind w:left="0"/>
              <w:jc w:val="center"/>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Annually</w:t>
            </w:r>
          </w:p>
        </w:tc>
      </w:tr>
      <w:tr w:rsidR="001019C1" w:rsidRPr="000B1875" w14:paraId="571412AF" w14:textId="77777777" w:rsidTr="00E3743D">
        <w:trPr>
          <w:cantSplit/>
        </w:trPr>
        <w:tc>
          <w:tcPr>
            <w:tcW w:w="2029" w:type="dxa"/>
            <w:shd w:val="clear" w:color="auto" w:fill="auto"/>
          </w:tcPr>
          <w:p w14:paraId="6801DFFE"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p>
          <w:p w14:paraId="75508C5F" w14:textId="77777777" w:rsidR="001019C1"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 xml:space="preserve">Customer Satisfaction </w:t>
            </w:r>
          </w:p>
          <w:p w14:paraId="05EB1DAD" w14:textId="77777777" w:rsidR="00F514A5" w:rsidRDefault="00F514A5" w:rsidP="00E3743D">
            <w:pPr>
              <w:spacing w:after="120" w:line="259" w:lineRule="auto"/>
              <w:ind w:left="0"/>
              <w:jc w:val="left"/>
              <w:rPr>
                <w:rFonts w:ascii="Calibri" w:eastAsia="Times New Roman" w:hAnsi="Calibri" w:cs="Times New Roman"/>
                <w:snapToGrid w:val="0"/>
                <w:color w:val="000000"/>
                <w:sz w:val="22"/>
                <w:szCs w:val="22"/>
              </w:rPr>
            </w:pPr>
          </w:p>
          <w:p w14:paraId="139EA767" w14:textId="77777777" w:rsidR="00F514A5" w:rsidRDefault="00F514A5" w:rsidP="00E3743D">
            <w:pPr>
              <w:spacing w:after="120" w:line="259" w:lineRule="auto"/>
              <w:ind w:left="0"/>
              <w:jc w:val="left"/>
              <w:rPr>
                <w:rFonts w:ascii="Calibri" w:eastAsia="Times New Roman" w:hAnsi="Calibri" w:cs="Times New Roman"/>
                <w:snapToGrid w:val="0"/>
                <w:color w:val="000000"/>
                <w:sz w:val="22"/>
                <w:szCs w:val="22"/>
              </w:rPr>
            </w:pPr>
          </w:p>
          <w:p w14:paraId="2AFAF847" w14:textId="68D71335" w:rsidR="00F514A5" w:rsidRPr="000B1875" w:rsidRDefault="00F514A5" w:rsidP="00E3743D">
            <w:pPr>
              <w:spacing w:after="120" w:line="259" w:lineRule="auto"/>
              <w:ind w:left="0"/>
              <w:jc w:val="left"/>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t>Customer Satisfaction</w:t>
            </w:r>
          </w:p>
        </w:tc>
        <w:tc>
          <w:tcPr>
            <w:tcW w:w="3960" w:type="dxa"/>
            <w:shd w:val="clear" w:color="auto" w:fill="auto"/>
          </w:tcPr>
          <w:p w14:paraId="79138FEF" w14:textId="77777777" w:rsidR="001019C1" w:rsidRPr="000B1875" w:rsidRDefault="001019C1" w:rsidP="00E3743D">
            <w:pPr>
              <w:spacing w:after="160" w:line="259" w:lineRule="auto"/>
              <w:ind w:left="0"/>
              <w:jc w:val="left"/>
              <w:rPr>
                <w:rFonts w:ascii="Calibri" w:eastAsia="Times New Roman" w:hAnsi="Calibri" w:cs="Times New Roman"/>
                <w:sz w:val="22"/>
                <w:szCs w:val="22"/>
              </w:rPr>
            </w:pPr>
            <w:r w:rsidRPr="000B1875">
              <w:rPr>
                <w:rFonts w:ascii="Calibri" w:eastAsia="Times New Roman" w:hAnsi="Calibri" w:cs="Times New Roman"/>
                <w:sz w:val="22"/>
                <w:szCs w:val="22"/>
              </w:rPr>
              <w:t>Staff Augmentation – Candidates submitted meets skills requested (online survey provided after first quarter of resource engagement and annually thereafter and at conclusion of work assignment.)</w:t>
            </w:r>
          </w:p>
          <w:p w14:paraId="7259A82B" w14:textId="2CA62313" w:rsidR="001019C1" w:rsidRPr="000B1875" w:rsidRDefault="001019C1" w:rsidP="00E3743D">
            <w:pPr>
              <w:spacing w:after="160" w:line="259" w:lineRule="auto"/>
              <w:ind w:left="0"/>
              <w:jc w:val="left"/>
              <w:rPr>
                <w:rFonts w:ascii="Calibri" w:eastAsia="Times New Roman" w:hAnsi="Calibri" w:cs="Times New Roman"/>
                <w:sz w:val="22"/>
                <w:szCs w:val="22"/>
              </w:rPr>
            </w:pPr>
            <w:r w:rsidRPr="000B1875">
              <w:rPr>
                <w:rFonts w:ascii="Calibri" w:eastAsia="Times New Roman" w:hAnsi="Calibri" w:cs="Times New Roman"/>
                <w:sz w:val="22"/>
                <w:szCs w:val="22"/>
              </w:rPr>
              <w:t>SOW engagements – Satisfaction with services received and value for price paid (on-line survey provided at end of first quarter, annually and at completion of SOW engagement)</w:t>
            </w:r>
          </w:p>
        </w:tc>
        <w:tc>
          <w:tcPr>
            <w:tcW w:w="1800" w:type="dxa"/>
            <w:shd w:val="clear" w:color="auto" w:fill="auto"/>
          </w:tcPr>
          <w:p w14:paraId="1E0F364E" w14:textId="5A5CFC3E" w:rsidR="001019C1" w:rsidRDefault="00F514A5" w:rsidP="00E3743D">
            <w:pPr>
              <w:spacing w:after="120" w:line="259" w:lineRule="auto"/>
              <w:ind w:left="0"/>
              <w:jc w:val="center"/>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t>100</w:t>
            </w:r>
            <w:r w:rsidR="001019C1" w:rsidRPr="000B1875">
              <w:rPr>
                <w:rFonts w:ascii="Calibri" w:eastAsia="Times New Roman" w:hAnsi="Calibri" w:cs="Times New Roman"/>
                <w:snapToGrid w:val="0"/>
                <w:color w:val="000000"/>
                <w:sz w:val="22"/>
                <w:szCs w:val="22"/>
              </w:rPr>
              <w:t xml:space="preserve">% </w:t>
            </w:r>
          </w:p>
          <w:p w14:paraId="30ED99BC" w14:textId="77777777" w:rsidR="00F514A5" w:rsidRDefault="00F514A5" w:rsidP="00E3743D">
            <w:pPr>
              <w:spacing w:after="120" w:line="259" w:lineRule="auto"/>
              <w:ind w:left="0"/>
              <w:jc w:val="center"/>
              <w:rPr>
                <w:rFonts w:ascii="Calibri" w:eastAsia="Times New Roman" w:hAnsi="Calibri" w:cs="Times New Roman"/>
                <w:snapToGrid w:val="0"/>
                <w:color w:val="000000"/>
                <w:sz w:val="22"/>
                <w:szCs w:val="22"/>
              </w:rPr>
            </w:pPr>
          </w:p>
          <w:p w14:paraId="0A038F0A" w14:textId="77777777" w:rsidR="00F514A5" w:rsidRDefault="00F514A5" w:rsidP="00E3743D">
            <w:pPr>
              <w:spacing w:after="120" w:line="259" w:lineRule="auto"/>
              <w:ind w:left="0"/>
              <w:jc w:val="center"/>
              <w:rPr>
                <w:rFonts w:ascii="Calibri" w:eastAsia="Times New Roman" w:hAnsi="Calibri" w:cs="Times New Roman"/>
                <w:snapToGrid w:val="0"/>
                <w:color w:val="000000"/>
                <w:sz w:val="22"/>
                <w:szCs w:val="22"/>
              </w:rPr>
            </w:pPr>
          </w:p>
          <w:p w14:paraId="3915B2C0" w14:textId="77777777" w:rsidR="00F514A5" w:rsidRDefault="00F514A5" w:rsidP="00E3743D">
            <w:pPr>
              <w:spacing w:after="120" w:line="259" w:lineRule="auto"/>
              <w:ind w:left="0"/>
              <w:jc w:val="center"/>
              <w:rPr>
                <w:rFonts w:ascii="Calibri" w:eastAsia="Times New Roman" w:hAnsi="Calibri" w:cs="Times New Roman"/>
                <w:snapToGrid w:val="0"/>
                <w:color w:val="000000"/>
                <w:sz w:val="22"/>
                <w:szCs w:val="22"/>
              </w:rPr>
            </w:pPr>
          </w:p>
          <w:p w14:paraId="49D0A8BA" w14:textId="77777777" w:rsidR="00F514A5" w:rsidRDefault="00F514A5" w:rsidP="00E3743D">
            <w:pPr>
              <w:spacing w:after="120" w:line="259" w:lineRule="auto"/>
              <w:ind w:left="0"/>
              <w:jc w:val="center"/>
              <w:rPr>
                <w:rFonts w:ascii="Calibri" w:eastAsia="Times New Roman" w:hAnsi="Calibri" w:cs="Times New Roman"/>
                <w:snapToGrid w:val="0"/>
                <w:color w:val="000000"/>
                <w:sz w:val="22"/>
                <w:szCs w:val="22"/>
              </w:rPr>
            </w:pPr>
          </w:p>
          <w:p w14:paraId="749569A3" w14:textId="3052C1DF" w:rsidR="00F514A5" w:rsidRPr="000B1875" w:rsidRDefault="00F514A5" w:rsidP="00E3743D">
            <w:pPr>
              <w:spacing w:after="120" w:line="259" w:lineRule="auto"/>
              <w:ind w:left="0"/>
              <w:jc w:val="center"/>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t>100%</w:t>
            </w:r>
          </w:p>
        </w:tc>
        <w:tc>
          <w:tcPr>
            <w:tcW w:w="3420" w:type="dxa"/>
            <w:shd w:val="clear" w:color="auto" w:fill="auto"/>
          </w:tcPr>
          <w:p w14:paraId="317979C0" w14:textId="77777777" w:rsidR="001019C1"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Online survey provided after first quarter of engagement, annually, and at conclusion of work assignment that candidate</w:t>
            </w:r>
          </w:p>
          <w:p w14:paraId="72832E31" w14:textId="77777777" w:rsidR="00F514A5" w:rsidRDefault="00F514A5" w:rsidP="00E3743D">
            <w:pPr>
              <w:spacing w:after="120" w:line="259" w:lineRule="auto"/>
              <w:ind w:left="0"/>
              <w:jc w:val="left"/>
              <w:rPr>
                <w:rFonts w:ascii="Calibri" w:eastAsia="Times New Roman" w:hAnsi="Calibri" w:cs="Times New Roman"/>
                <w:snapToGrid w:val="0"/>
                <w:color w:val="000000"/>
                <w:sz w:val="22"/>
                <w:szCs w:val="22"/>
              </w:rPr>
            </w:pPr>
          </w:p>
          <w:p w14:paraId="086DC599" w14:textId="77777777" w:rsidR="00F514A5" w:rsidRDefault="00F514A5" w:rsidP="00E3743D">
            <w:pPr>
              <w:spacing w:after="120" w:line="259" w:lineRule="auto"/>
              <w:ind w:left="0"/>
              <w:jc w:val="left"/>
              <w:rPr>
                <w:rFonts w:ascii="Calibri" w:eastAsia="Times New Roman" w:hAnsi="Calibri" w:cs="Times New Roman"/>
                <w:snapToGrid w:val="0"/>
                <w:color w:val="000000"/>
                <w:sz w:val="22"/>
                <w:szCs w:val="22"/>
              </w:rPr>
            </w:pPr>
          </w:p>
          <w:p w14:paraId="23028156" w14:textId="3C45C62B" w:rsidR="00F514A5" w:rsidRPr="000B1875" w:rsidRDefault="00F514A5"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 xml:space="preserve">Online survey provided at conclusion </w:t>
            </w:r>
            <w:r>
              <w:rPr>
                <w:rFonts w:ascii="Calibri" w:eastAsia="Times New Roman" w:hAnsi="Calibri" w:cs="Times New Roman"/>
                <w:snapToGrid w:val="0"/>
                <w:color w:val="000000"/>
                <w:sz w:val="22"/>
                <w:szCs w:val="22"/>
              </w:rPr>
              <w:t>after sign</w:t>
            </w:r>
            <w:r w:rsidR="005554CF">
              <w:rPr>
                <w:rFonts w:ascii="Calibri" w:eastAsia="Times New Roman" w:hAnsi="Calibri" w:cs="Times New Roman"/>
                <w:snapToGrid w:val="0"/>
                <w:color w:val="000000"/>
                <w:sz w:val="22"/>
                <w:szCs w:val="22"/>
              </w:rPr>
              <w:t>-</w:t>
            </w:r>
            <w:r>
              <w:rPr>
                <w:rFonts w:ascii="Calibri" w:eastAsia="Times New Roman" w:hAnsi="Calibri" w:cs="Times New Roman"/>
                <w:snapToGrid w:val="0"/>
                <w:color w:val="000000"/>
                <w:sz w:val="22"/>
                <w:szCs w:val="22"/>
              </w:rPr>
              <w:t>off of final milestone</w:t>
            </w:r>
          </w:p>
        </w:tc>
        <w:tc>
          <w:tcPr>
            <w:tcW w:w="1440" w:type="dxa"/>
            <w:shd w:val="clear" w:color="auto" w:fill="auto"/>
          </w:tcPr>
          <w:p w14:paraId="72D36940" w14:textId="77777777" w:rsidR="001019C1" w:rsidRDefault="001019C1" w:rsidP="00E3743D">
            <w:pPr>
              <w:spacing w:after="120" w:line="259" w:lineRule="auto"/>
              <w:ind w:left="0"/>
              <w:jc w:val="center"/>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Quarterly</w:t>
            </w:r>
          </w:p>
          <w:p w14:paraId="5CBBC871" w14:textId="77777777" w:rsidR="00F514A5" w:rsidRDefault="00F514A5" w:rsidP="00E3743D">
            <w:pPr>
              <w:spacing w:after="120" w:line="259" w:lineRule="auto"/>
              <w:ind w:left="0"/>
              <w:jc w:val="center"/>
              <w:rPr>
                <w:rFonts w:ascii="Calibri" w:eastAsia="Times New Roman" w:hAnsi="Calibri" w:cs="Times New Roman"/>
                <w:snapToGrid w:val="0"/>
                <w:color w:val="000000"/>
                <w:sz w:val="22"/>
                <w:szCs w:val="22"/>
              </w:rPr>
            </w:pPr>
          </w:p>
          <w:p w14:paraId="0AA34E2F" w14:textId="77777777" w:rsidR="00F514A5" w:rsidRDefault="00F514A5" w:rsidP="00E3743D">
            <w:pPr>
              <w:spacing w:after="120" w:line="259" w:lineRule="auto"/>
              <w:ind w:left="0"/>
              <w:jc w:val="center"/>
              <w:rPr>
                <w:rFonts w:ascii="Calibri" w:eastAsia="Times New Roman" w:hAnsi="Calibri" w:cs="Times New Roman"/>
                <w:snapToGrid w:val="0"/>
                <w:color w:val="000000"/>
                <w:sz w:val="22"/>
                <w:szCs w:val="22"/>
              </w:rPr>
            </w:pPr>
          </w:p>
          <w:p w14:paraId="7E867D6A" w14:textId="77777777" w:rsidR="00F514A5" w:rsidRDefault="00F514A5" w:rsidP="00E3743D">
            <w:pPr>
              <w:spacing w:after="120" w:line="259" w:lineRule="auto"/>
              <w:ind w:left="0"/>
              <w:jc w:val="center"/>
              <w:rPr>
                <w:rFonts w:ascii="Calibri" w:eastAsia="Times New Roman" w:hAnsi="Calibri" w:cs="Times New Roman"/>
                <w:snapToGrid w:val="0"/>
                <w:color w:val="000000"/>
                <w:sz w:val="22"/>
                <w:szCs w:val="22"/>
              </w:rPr>
            </w:pPr>
          </w:p>
          <w:p w14:paraId="22138273" w14:textId="77777777" w:rsidR="00F514A5" w:rsidRDefault="00F514A5" w:rsidP="00E3743D">
            <w:pPr>
              <w:spacing w:after="120" w:line="259" w:lineRule="auto"/>
              <w:ind w:left="0"/>
              <w:jc w:val="center"/>
              <w:rPr>
                <w:rFonts w:ascii="Calibri" w:eastAsia="Times New Roman" w:hAnsi="Calibri" w:cs="Times New Roman"/>
                <w:snapToGrid w:val="0"/>
                <w:color w:val="000000"/>
                <w:sz w:val="22"/>
                <w:szCs w:val="22"/>
              </w:rPr>
            </w:pPr>
          </w:p>
          <w:p w14:paraId="3228821B" w14:textId="61804C3E" w:rsidR="00F514A5" w:rsidRPr="000B1875" w:rsidRDefault="00F514A5" w:rsidP="00E3743D">
            <w:pPr>
              <w:spacing w:after="120" w:line="259" w:lineRule="auto"/>
              <w:ind w:left="0"/>
              <w:jc w:val="center"/>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Quarterly</w:t>
            </w:r>
          </w:p>
        </w:tc>
      </w:tr>
      <w:tr w:rsidR="001019C1" w:rsidRPr="000B1875" w14:paraId="4A521AAB" w14:textId="77777777" w:rsidTr="00E3743D">
        <w:trPr>
          <w:cantSplit/>
        </w:trPr>
        <w:tc>
          <w:tcPr>
            <w:tcW w:w="2029" w:type="dxa"/>
            <w:shd w:val="clear" w:color="auto" w:fill="auto"/>
          </w:tcPr>
          <w:p w14:paraId="63C32453"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p>
          <w:p w14:paraId="505570CC"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System Availability</w:t>
            </w:r>
          </w:p>
        </w:tc>
        <w:tc>
          <w:tcPr>
            <w:tcW w:w="3960" w:type="dxa"/>
            <w:shd w:val="clear" w:color="auto" w:fill="auto"/>
          </w:tcPr>
          <w:p w14:paraId="78D52A7B"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VMS is available to engagement managers and subcontractors</w:t>
            </w:r>
          </w:p>
        </w:tc>
        <w:tc>
          <w:tcPr>
            <w:tcW w:w="1800" w:type="dxa"/>
            <w:shd w:val="clear" w:color="auto" w:fill="auto"/>
          </w:tcPr>
          <w:p w14:paraId="24CBB1DD" w14:textId="77777777" w:rsidR="001019C1" w:rsidRPr="000B1875" w:rsidRDefault="001019C1" w:rsidP="00E3743D">
            <w:pPr>
              <w:spacing w:after="120" w:line="259" w:lineRule="auto"/>
              <w:ind w:left="0"/>
              <w:jc w:val="center"/>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99%</w:t>
            </w:r>
          </w:p>
        </w:tc>
        <w:tc>
          <w:tcPr>
            <w:tcW w:w="3420" w:type="dxa"/>
            <w:shd w:val="clear" w:color="auto" w:fill="auto"/>
          </w:tcPr>
          <w:p w14:paraId="35732475" w14:textId="77777777" w:rsidR="001019C1" w:rsidRPr="000B1875" w:rsidRDefault="001019C1" w:rsidP="00E3743D">
            <w:pPr>
              <w:spacing w:after="120" w:line="259" w:lineRule="auto"/>
              <w:ind w:left="0"/>
              <w:jc w:val="left"/>
              <w:rPr>
                <w:rFonts w:ascii="Calibri" w:eastAsia="Times New Roman" w:hAnsi="Calibri" w:cs="Times New Roman"/>
                <w:snapToGrid w:val="0"/>
                <w:color w:val="000000"/>
                <w:sz w:val="22"/>
                <w:szCs w:val="22"/>
              </w:rPr>
            </w:pPr>
            <w:r w:rsidRPr="000B1875">
              <w:rPr>
                <w:rFonts w:ascii="Calibri" w:eastAsia="Times New Roman" w:hAnsi="Calibri" w:cs="Times New Roman"/>
                <w:snapToGrid w:val="0"/>
                <w:color w:val="000000"/>
                <w:sz w:val="22"/>
                <w:szCs w:val="22"/>
              </w:rPr>
              <w:t>System availability /total potential availability measured in minutes 24 hours, 7 days per week, outside of scheduled maintenance periods.</w:t>
            </w:r>
          </w:p>
        </w:tc>
        <w:tc>
          <w:tcPr>
            <w:tcW w:w="1440" w:type="dxa"/>
            <w:shd w:val="clear" w:color="auto" w:fill="auto"/>
          </w:tcPr>
          <w:p w14:paraId="1D4A66AF" w14:textId="5BD02BD2" w:rsidR="001019C1" w:rsidRPr="000B1875" w:rsidRDefault="005554CF" w:rsidP="00E3743D">
            <w:pPr>
              <w:spacing w:after="120" w:line="259" w:lineRule="auto"/>
              <w:ind w:left="0"/>
              <w:jc w:val="center"/>
              <w:rPr>
                <w:rFonts w:ascii="Calibri" w:eastAsia="Times New Roman" w:hAnsi="Calibri" w:cs="Times New Roman"/>
                <w:snapToGrid w:val="0"/>
                <w:color w:val="000000"/>
                <w:sz w:val="22"/>
                <w:szCs w:val="22"/>
              </w:rPr>
            </w:pPr>
            <w:r>
              <w:rPr>
                <w:rFonts w:ascii="Calibri" w:eastAsia="Times New Roman" w:hAnsi="Calibri" w:cs="Times New Roman"/>
                <w:snapToGrid w:val="0"/>
                <w:color w:val="000000"/>
                <w:sz w:val="22"/>
                <w:szCs w:val="22"/>
              </w:rPr>
              <w:br/>
            </w:r>
            <w:r w:rsidR="00F514A5">
              <w:rPr>
                <w:rFonts w:ascii="Calibri" w:eastAsia="Times New Roman" w:hAnsi="Calibri" w:cs="Times New Roman"/>
                <w:snapToGrid w:val="0"/>
                <w:color w:val="000000"/>
                <w:sz w:val="22"/>
                <w:szCs w:val="22"/>
              </w:rPr>
              <w:t>Quarterly</w:t>
            </w:r>
          </w:p>
        </w:tc>
      </w:tr>
    </w:tbl>
    <w:p w14:paraId="352A0B52" w14:textId="77777777" w:rsidR="0086300D" w:rsidRDefault="0086300D" w:rsidP="00526B5A">
      <w:pPr>
        <w:ind w:left="0"/>
      </w:pPr>
    </w:p>
    <w:sectPr w:rsidR="0086300D" w:rsidSect="00312051">
      <w:headerReference w:type="default" r:id="rId10"/>
      <w:pgSz w:w="15840" w:h="12240" w:orient="landscape"/>
      <w:pgMar w:top="153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2EB40BA" w16cid:durableId="23E9C5C0"/>
  <w16cid:commentId w16cid:paraId="1CB023C6" w16cid:durableId="23E9C5C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5AAF7" w14:textId="77777777" w:rsidR="00312051" w:rsidRDefault="00312051" w:rsidP="00312051">
      <w:r>
        <w:separator/>
      </w:r>
    </w:p>
  </w:endnote>
  <w:endnote w:type="continuationSeparator" w:id="0">
    <w:p w14:paraId="68FE4359" w14:textId="77777777" w:rsidR="00312051" w:rsidRDefault="00312051" w:rsidP="00312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083EF7" w14:textId="77777777" w:rsidR="00312051" w:rsidRDefault="00312051" w:rsidP="00312051">
      <w:r>
        <w:separator/>
      </w:r>
    </w:p>
  </w:footnote>
  <w:footnote w:type="continuationSeparator" w:id="0">
    <w:p w14:paraId="1D416F43" w14:textId="77777777" w:rsidR="00312051" w:rsidRDefault="00312051" w:rsidP="003120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14:paraId="5A0DA394" w14:textId="7FFDB5F0" w:rsidR="002D6DB7" w:rsidRDefault="002D6DB7">
        <w:pPr>
          <w:pStyle w:val="Header"/>
          <w:jc w:val="right"/>
        </w:pPr>
        <w:r>
          <w:t>VA-210625-CAI, Exhibit E</w:t>
        </w:r>
        <w:r>
          <w:tab/>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3</w:t>
        </w:r>
        <w:r>
          <w:rPr>
            <w:b/>
            <w:bCs/>
            <w:sz w:val="24"/>
            <w:szCs w:val="24"/>
          </w:rPr>
          <w:fldChar w:fldCharType="end"/>
        </w:r>
      </w:p>
    </w:sdtContent>
  </w:sdt>
  <w:p w14:paraId="329D91B6" w14:textId="5BAEC021" w:rsidR="00312051" w:rsidRDefault="00312051" w:rsidP="002D6DB7">
    <w:pPr>
      <w:pStyle w:val="Header"/>
      <w:ind w:left="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866C89"/>
    <w:multiLevelType w:val="multilevel"/>
    <w:tmpl w:val="6406BFEC"/>
    <w:lvl w:ilvl="0">
      <w:start w:val="1"/>
      <w:numFmt w:val="decimal"/>
      <w:pStyle w:val="Heading1"/>
      <w:lvlText w:val="%1."/>
      <w:lvlJc w:val="left"/>
      <w:pPr>
        <w:tabs>
          <w:tab w:val="num" w:pos="360"/>
        </w:tabs>
        <w:ind w:left="360" w:hanging="360"/>
      </w:pPr>
      <w:rPr>
        <w:rFonts w:ascii="Arial" w:eastAsia="Arial" w:hAnsi="Arial" w:cs="Arial" w:hint="default"/>
        <w:b/>
        <w:i w:val="0"/>
        <w:sz w:val="32"/>
      </w:rPr>
    </w:lvl>
    <w:lvl w:ilvl="1">
      <w:start w:val="1"/>
      <w:numFmt w:val="upperLetter"/>
      <w:lvlText w:val="%2."/>
      <w:lvlJc w:val="left"/>
      <w:pPr>
        <w:tabs>
          <w:tab w:val="num" w:pos="0"/>
        </w:tabs>
        <w:ind w:left="1080" w:hanging="720"/>
      </w:pPr>
    </w:lvl>
    <w:lvl w:ilvl="2">
      <w:start w:val="1"/>
      <w:numFmt w:val="decimal"/>
      <w:lvlText w:val="%3."/>
      <w:lvlJc w:val="left"/>
      <w:pPr>
        <w:tabs>
          <w:tab w:val="num" w:pos="1080"/>
        </w:tabs>
        <w:ind w:left="1080" w:hanging="360"/>
      </w:pPr>
      <w:rPr>
        <w:rFonts w:ascii="Arial" w:eastAsia="Arial" w:hAnsi="Arial" w:cs="Arial" w:hint="default"/>
        <w:b/>
        <w:i w:val="0"/>
        <w:sz w:val="20"/>
      </w:rPr>
    </w:lvl>
    <w:lvl w:ilvl="3">
      <w:start w:val="1"/>
      <w:numFmt w:val="lowerLetter"/>
      <w:lvlText w:val="%4)"/>
      <w:lvlJc w:val="left"/>
      <w:pPr>
        <w:tabs>
          <w:tab w:val="num" w:pos="0"/>
        </w:tabs>
        <w:ind w:left="2520" w:hanging="720"/>
      </w:pPr>
    </w:lvl>
    <w:lvl w:ilvl="4">
      <w:start w:val="1"/>
      <w:numFmt w:val="decimal"/>
      <w:lvlText w:val="(%5)"/>
      <w:lvlJc w:val="left"/>
      <w:pPr>
        <w:tabs>
          <w:tab w:val="num" w:pos="0"/>
        </w:tabs>
        <w:ind w:left="3240" w:hanging="720"/>
      </w:pPr>
    </w:lvl>
    <w:lvl w:ilvl="5">
      <w:start w:val="1"/>
      <w:numFmt w:val="lowerLetter"/>
      <w:lvlText w:val="(%6)"/>
      <w:lvlJc w:val="left"/>
      <w:pPr>
        <w:tabs>
          <w:tab w:val="num" w:pos="0"/>
        </w:tabs>
        <w:ind w:left="3960" w:hanging="720"/>
      </w:pPr>
    </w:lvl>
    <w:lvl w:ilvl="6">
      <w:start w:val="1"/>
      <w:numFmt w:val="lowerRoman"/>
      <w:lvlText w:val="(%7)"/>
      <w:lvlJc w:val="left"/>
      <w:pPr>
        <w:tabs>
          <w:tab w:val="num" w:pos="0"/>
        </w:tabs>
        <w:ind w:left="4680" w:hanging="720"/>
      </w:pPr>
    </w:lvl>
    <w:lvl w:ilvl="7">
      <w:start w:val="1"/>
      <w:numFmt w:val="lowerLetter"/>
      <w:lvlText w:val="(%8)"/>
      <w:lvlJc w:val="left"/>
      <w:pPr>
        <w:tabs>
          <w:tab w:val="num" w:pos="0"/>
        </w:tabs>
        <w:ind w:left="5400" w:hanging="720"/>
      </w:pPr>
    </w:lvl>
    <w:lvl w:ilvl="8">
      <w:start w:val="1"/>
      <w:numFmt w:val="lowerRoman"/>
      <w:lvlText w:val="(%9)"/>
      <w:lvlJc w:val="left"/>
      <w:pPr>
        <w:tabs>
          <w:tab w:val="num" w:pos="0"/>
        </w:tabs>
        <w:ind w:left="612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C1"/>
    <w:rsid w:val="00014F41"/>
    <w:rsid w:val="001019C1"/>
    <w:rsid w:val="001727D7"/>
    <w:rsid w:val="0017462E"/>
    <w:rsid w:val="0025607E"/>
    <w:rsid w:val="002D6DB7"/>
    <w:rsid w:val="00312051"/>
    <w:rsid w:val="00353C5F"/>
    <w:rsid w:val="004862C2"/>
    <w:rsid w:val="00502F04"/>
    <w:rsid w:val="00526B5A"/>
    <w:rsid w:val="005554CF"/>
    <w:rsid w:val="005E0C97"/>
    <w:rsid w:val="007168EF"/>
    <w:rsid w:val="007956A3"/>
    <w:rsid w:val="007F54A7"/>
    <w:rsid w:val="008534D6"/>
    <w:rsid w:val="0086300D"/>
    <w:rsid w:val="00A623F3"/>
    <w:rsid w:val="00A67323"/>
    <w:rsid w:val="00B1281F"/>
    <w:rsid w:val="00BA628D"/>
    <w:rsid w:val="00BD0F1E"/>
    <w:rsid w:val="00DA5B9C"/>
    <w:rsid w:val="00E277F0"/>
    <w:rsid w:val="00F24462"/>
    <w:rsid w:val="00F51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78F7AB8"/>
  <w15:chartTrackingRefBased/>
  <w15:docId w15:val="{954D2C47-FD3D-4084-9B77-B22089A8B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9C1"/>
    <w:pPr>
      <w:spacing w:after="0" w:line="240" w:lineRule="auto"/>
      <w:ind w:left="1440"/>
      <w:jc w:val="both"/>
    </w:pPr>
    <w:rPr>
      <w:rFonts w:ascii="Arial" w:eastAsia="Arial" w:hAnsi="Arial" w:cs="Arial"/>
      <w:sz w:val="20"/>
      <w:szCs w:val="20"/>
    </w:rPr>
  </w:style>
  <w:style w:type="paragraph" w:styleId="Heading1">
    <w:name w:val="heading 1"/>
    <w:basedOn w:val="Normal"/>
    <w:next w:val="Normal"/>
    <w:link w:val="Heading1Char"/>
    <w:qFormat/>
    <w:rsid w:val="001019C1"/>
    <w:pPr>
      <w:keepNext/>
      <w:pageBreakBefore/>
      <w:numPr>
        <w:numId w:val="1"/>
      </w:numPr>
      <w:pBdr>
        <w:bottom w:val="single" w:sz="18" w:space="1" w:color="auto"/>
      </w:pBdr>
      <w:spacing w:after="60"/>
      <w:jc w:val="left"/>
      <w:outlineLvl w:val="0"/>
    </w:pPr>
    <w:rPr>
      <w:b/>
      <w:kern w:val="28"/>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19C1"/>
    <w:rPr>
      <w:rFonts w:ascii="Arial" w:eastAsia="Arial" w:hAnsi="Arial" w:cs="Arial"/>
      <w:b/>
      <w:kern w:val="28"/>
      <w:sz w:val="32"/>
      <w:szCs w:val="20"/>
    </w:rPr>
  </w:style>
  <w:style w:type="character" w:styleId="CommentReference">
    <w:name w:val="annotation reference"/>
    <w:basedOn w:val="DefaultParagraphFont"/>
    <w:uiPriority w:val="99"/>
    <w:semiHidden/>
    <w:unhideWhenUsed/>
    <w:rsid w:val="00F24462"/>
    <w:rPr>
      <w:sz w:val="16"/>
      <w:szCs w:val="16"/>
    </w:rPr>
  </w:style>
  <w:style w:type="paragraph" w:styleId="CommentText">
    <w:name w:val="annotation text"/>
    <w:basedOn w:val="Normal"/>
    <w:link w:val="CommentTextChar"/>
    <w:uiPriority w:val="99"/>
    <w:semiHidden/>
    <w:unhideWhenUsed/>
    <w:rsid w:val="00F24462"/>
  </w:style>
  <w:style w:type="character" w:customStyle="1" w:styleId="CommentTextChar">
    <w:name w:val="Comment Text Char"/>
    <w:basedOn w:val="DefaultParagraphFont"/>
    <w:link w:val="CommentText"/>
    <w:uiPriority w:val="99"/>
    <w:semiHidden/>
    <w:rsid w:val="00F24462"/>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F24462"/>
    <w:rPr>
      <w:b/>
      <w:bCs/>
    </w:rPr>
  </w:style>
  <w:style w:type="character" w:customStyle="1" w:styleId="CommentSubjectChar">
    <w:name w:val="Comment Subject Char"/>
    <w:basedOn w:val="CommentTextChar"/>
    <w:link w:val="CommentSubject"/>
    <w:uiPriority w:val="99"/>
    <w:semiHidden/>
    <w:rsid w:val="00F24462"/>
    <w:rPr>
      <w:rFonts w:ascii="Arial" w:eastAsia="Arial" w:hAnsi="Arial" w:cs="Arial"/>
      <w:b/>
      <w:bCs/>
      <w:sz w:val="20"/>
      <w:szCs w:val="20"/>
    </w:rPr>
  </w:style>
  <w:style w:type="paragraph" w:styleId="BalloonText">
    <w:name w:val="Balloon Text"/>
    <w:basedOn w:val="Normal"/>
    <w:link w:val="BalloonTextChar"/>
    <w:uiPriority w:val="99"/>
    <w:semiHidden/>
    <w:unhideWhenUsed/>
    <w:rsid w:val="00F244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462"/>
    <w:rPr>
      <w:rFonts w:ascii="Segoe UI" w:eastAsia="Arial" w:hAnsi="Segoe UI" w:cs="Segoe UI"/>
      <w:sz w:val="18"/>
      <w:szCs w:val="18"/>
    </w:rPr>
  </w:style>
  <w:style w:type="paragraph" w:styleId="Header">
    <w:name w:val="header"/>
    <w:basedOn w:val="Normal"/>
    <w:link w:val="HeaderChar"/>
    <w:uiPriority w:val="99"/>
    <w:unhideWhenUsed/>
    <w:rsid w:val="00312051"/>
    <w:pPr>
      <w:tabs>
        <w:tab w:val="center" w:pos="4680"/>
        <w:tab w:val="right" w:pos="9360"/>
      </w:tabs>
    </w:pPr>
  </w:style>
  <w:style w:type="character" w:customStyle="1" w:styleId="HeaderChar">
    <w:name w:val="Header Char"/>
    <w:basedOn w:val="DefaultParagraphFont"/>
    <w:link w:val="Header"/>
    <w:uiPriority w:val="99"/>
    <w:rsid w:val="00312051"/>
    <w:rPr>
      <w:rFonts w:ascii="Arial" w:eastAsia="Arial" w:hAnsi="Arial" w:cs="Arial"/>
      <w:sz w:val="20"/>
      <w:szCs w:val="20"/>
    </w:rPr>
  </w:style>
  <w:style w:type="paragraph" w:styleId="Footer">
    <w:name w:val="footer"/>
    <w:basedOn w:val="Normal"/>
    <w:link w:val="FooterChar"/>
    <w:uiPriority w:val="99"/>
    <w:unhideWhenUsed/>
    <w:rsid w:val="00312051"/>
    <w:pPr>
      <w:tabs>
        <w:tab w:val="center" w:pos="4680"/>
        <w:tab w:val="right" w:pos="9360"/>
      </w:tabs>
    </w:pPr>
  </w:style>
  <w:style w:type="character" w:customStyle="1" w:styleId="FooterChar">
    <w:name w:val="Footer Char"/>
    <w:basedOn w:val="DefaultParagraphFont"/>
    <w:link w:val="Footer"/>
    <w:uiPriority w:val="99"/>
    <w:rsid w:val="00312051"/>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8975606A9C684F89FECE16AD53F101" ma:contentTypeVersion="2" ma:contentTypeDescription="Create a new document." ma:contentTypeScope="" ma:versionID="fe820d3f83d5c989101d9c709cacfbeb">
  <xsd:schema xmlns:xsd="http://www.w3.org/2001/XMLSchema" xmlns:xs="http://www.w3.org/2001/XMLSchema" xmlns:p="http://schemas.microsoft.com/office/2006/metadata/properties" xmlns:ns2="30d2c607-6338-432f-b922-d307a9561e6d" targetNamespace="http://schemas.microsoft.com/office/2006/metadata/properties" ma:root="true" ma:fieldsID="030073e7dd699617e0d01c7ee22a2d9a" ns2:_="">
    <xsd:import namespace="30d2c607-6338-432f-b922-d307a9561e6d"/>
    <xsd:element name="properties">
      <xsd:complexType>
        <xsd:sequence>
          <xsd:element name="documentManagement">
            <xsd:complexType>
              <xsd:all>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2c607-6338-432f-b922-d307a9561e6d" elementFormDefault="qualified">
    <xsd:import namespace="http://schemas.microsoft.com/office/2006/documentManagement/types"/>
    <xsd:import namespace="http://schemas.microsoft.com/office/infopath/2007/PartnerControls"/>
    <xsd:element name="Status" ma:index="8" nillable="true" ma:displayName="Status" ma:default="In Progress" ma:description="status code" ma:format="Dropdown" ma:internalName="Status">
      <xsd:simpleType>
        <xsd:restriction base="dms:Choice">
          <xsd:enumeration value="In Progress"/>
          <xsd:enumeration value="Complete - To Be Archived"/>
          <xsd:enumeration value="Archived, Keep"/>
          <xsd:enumeration value="Keep"/>
          <xsd:enumeration value="Check Archive and Delet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30d2c607-6338-432f-b922-d307a9561e6d">In Progress</Status>
  </documentManagement>
</p:properties>
</file>

<file path=customXml/itemProps1.xml><?xml version="1.0" encoding="utf-8"?>
<ds:datastoreItem xmlns:ds="http://schemas.openxmlformats.org/officeDocument/2006/customXml" ds:itemID="{284C48EA-4392-41AD-92FB-831F09986D72}">
  <ds:schemaRefs>
    <ds:schemaRef ds:uri="http://schemas.microsoft.com/sharepoint/v3/contenttype/forms"/>
  </ds:schemaRefs>
</ds:datastoreItem>
</file>

<file path=customXml/itemProps2.xml><?xml version="1.0" encoding="utf-8"?>
<ds:datastoreItem xmlns:ds="http://schemas.openxmlformats.org/officeDocument/2006/customXml" ds:itemID="{76FCC47A-F614-469D-92B7-0C4A651BF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d2c607-6338-432f-b922-d307a9561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486CEE-594A-4BBE-9904-80FB15CA6222}">
  <ds:schemaRefs>
    <ds:schemaRef ds:uri="http://purl.org/dc/terms/"/>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purl.org/dc/dcmitype/"/>
    <ds:schemaRef ds:uri="http://schemas.openxmlformats.org/package/2006/metadata/core-properties"/>
    <ds:schemaRef ds:uri="30d2c607-6338-432f-b922-d307a9561e6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562</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Leiby</dc:creator>
  <cp:keywords/>
  <dc:description/>
  <cp:lastModifiedBy>VITA Program</cp:lastModifiedBy>
  <cp:revision>3</cp:revision>
  <dcterms:created xsi:type="dcterms:W3CDTF">2021-06-14T14:58:00Z</dcterms:created>
  <dcterms:modified xsi:type="dcterms:W3CDTF">2021-06-14T15:04:00Z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0x010100F28975606A9C684F89FECE16AD53F101</vt:lpwstr>
  </property>
</Properties>
</file>