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26" w:rsidRDefault="00584026" w:rsidP="00584026">
      <w:pPr>
        <w:pStyle w:val="Heading1"/>
        <w:widowControl/>
        <w:ind w:left="1440"/>
        <w:jc w:val="both"/>
      </w:pPr>
      <w:r>
        <w:t>Exhibit I</w:t>
      </w:r>
      <w:bookmarkStart w:id="0" w:name="_GoBack"/>
      <w:bookmarkEnd w:id="0"/>
      <w:r>
        <w:t xml:space="preserve"> - Service Level Agreements</w:t>
      </w:r>
    </w:p>
    <w:p w:rsidR="00584026" w:rsidRDefault="00584026" w:rsidP="00584026">
      <w:pPr>
        <w:widowControl/>
        <w:spacing w:after="120" w:line="240" w:lineRule="auto"/>
        <w:ind w:left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(To be effective 60 days following commencement of the Solution.)</w:t>
      </w:r>
    </w:p>
    <w:p w:rsidR="00584026" w:rsidRDefault="00584026" w:rsidP="00584026">
      <w:pPr>
        <w:widowControl/>
        <w:spacing w:after="120" w:line="240" w:lineRule="auto"/>
        <w:ind w:left="360"/>
        <w:rPr>
          <w:color w:val="000000"/>
          <w:sz w:val="20"/>
          <w:szCs w:val="20"/>
        </w:rPr>
      </w:pPr>
    </w:p>
    <w:tbl>
      <w:tblPr>
        <w:tblW w:w="11730" w:type="dxa"/>
        <w:tblInd w:w="-7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2940"/>
        <w:gridCol w:w="1995"/>
        <w:gridCol w:w="1470"/>
        <w:gridCol w:w="1335"/>
        <w:gridCol w:w="1890"/>
      </w:tblGrid>
      <w:tr w:rsidR="00584026" w:rsidTr="00757C2F">
        <w:tc>
          <w:tcPr>
            <w:tcW w:w="210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Performance Standard</w:t>
            </w:r>
          </w:p>
        </w:tc>
        <w:tc>
          <w:tcPr>
            <w:tcW w:w="294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Measurement</w:t>
            </w:r>
          </w:p>
        </w:tc>
        <w:tc>
          <w:tcPr>
            <w:tcW w:w="1995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Measurement period</w:t>
            </w:r>
          </w:p>
        </w:tc>
        <w:tc>
          <w:tcPr>
            <w:tcW w:w="147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 Level</w:t>
            </w:r>
          </w:p>
        </w:tc>
        <w:tc>
          <w:tcPr>
            <w:tcW w:w="1335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Service Price</w:t>
            </w:r>
          </w:p>
        </w:tc>
        <w:tc>
          <w:tcPr>
            <w:tcW w:w="189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Remedy</w:t>
            </w:r>
          </w:p>
        </w:tc>
      </w:tr>
      <w:tr w:rsidR="00584026" w:rsidTr="00757C2F">
        <w:tc>
          <w:tcPr>
            <w:tcW w:w="210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18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Site Uptime</w:t>
            </w:r>
          </w:p>
        </w:tc>
        <w:tc>
          <w:tcPr>
            <w:tcW w:w="294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What percentage of the time is the site up? </w:t>
            </w:r>
          </w:p>
          <w:p w:rsidR="00584026" w:rsidRDefault="00584026" w:rsidP="00757C2F">
            <w:pPr>
              <w:widowControl/>
              <w:spacing w:after="12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See SLA definitions </w:t>
            </w:r>
            <w:hyperlink r:id="rId4">
              <w:r>
                <w:rPr>
                  <w:color w:val="1155CC"/>
                  <w:sz w:val="20"/>
                  <w:szCs w:val="20"/>
                  <w:u w:val="single"/>
                </w:rPr>
                <w:t>here</w:t>
              </w:r>
            </w:hyperlink>
          </w:p>
        </w:tc>
        <w:tc>
          <w:tcPr>
            <w:tcW w:w="1995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18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Monthly</w:t>
            </w:r>
          </w:p>
        </w:tc>
        <w:tc>
          <w:tcPr>
            <w:tcW w:w="147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99.95% </w:t>
            </w:r>
          </w:p>
          <w:p w:rsidR="00584026" w:rsidRDefault="00584026" w:rsidP="00757C2F">
            <w:pPr>
              <w:widowControl/>
              <w:spacing w:after="12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(With the inclusion of Acquia Edge for CDN we can offer a 99.99% uptime SLA)</w:t>
            </w:r>
          </w:p>
        </w:tc>
        <w:tc>
          <w:tcPr>
            <w:tcW w:w="1335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18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Included</w:t>
            </w:r>
          </w:p>
        </w:tc>
        <w:tc>
          <w:tcPr>
            <w:tcW w:w="189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Service Extension - </w:t>
            </w:r>
            <w:hyperlink r:id="rId5" w:anchor="service-extension">
              <w:r>
                <w:rPr>
                  <w:color w:val="1155CC"/>
                  <w:sz w:val="20"/>
                  <w:szCs w:val="20"/>
                  <w:u w:val="single"/>
                </w:rPr>
                <w:t>terms here</w:t>
              </w:r>
            </w:hyperlink>
          </w:p>
        </w:tc>
      </w:tr>
      <w:tr w:rsidR="00584026" w:rsidTr="00757C2F">
        <w:tc>
          <w:tcPr>
            <w:tcW w:w="210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18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Support Response Time</w:t>
            </w:r>
          </w:p>
        </w:tc>
        <w:tc>
          <w:tcPr>
            <w:tcW w:w="294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hour for Critical tickets </w:t>
            </w:r>
          </w:p>
          <w:p w:rsidR="00584026" w:rsidRDefault="00584026" w:rsidP="00757C2F">
            <w:pPr>
              <w:widowControl/>
              <w:spacing w:after="12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(30-min if “Elite Entitlements” are included)</w:t>
            </w:r>
          </w:p>
          <w:p w:rsidR="00584026" w:rsidRDefault="00584026" w:rsidP="00757C2F">
            <w:pPr>
              <w:widowControl/>
              <w:spacing w:after="12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Response time SLA depends on the Level of Criticality as marked by the customer (Levels = Critical, high, medium, low)</w:t>
            </w:r>
          </w:p>
        </w:tc>
        <w:tc>
          <w:tcPr>
            <w:tcW w:w="1995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18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 Ticket</w:t>
            </w:r>
          </w:p>
          <w:p w:rsidR="00584026" w:rsidRDefault="00584026" w:rsidP="00757C2F">
            <w:pPr>
              <w:widowControl/>
              <w:spacing w:after="120" w:line="240" w:lineRule="auto"/>
              <w:ind w:left="180"/>
              <w:rPr>
                <w:color w:val="000000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  <w:p w:rsidR="00584026" w:rsidRDefault="00584026" w:rsidP="00757C2F">
            <w:pPr>
              <w:widowControl/>
              <w:spacing w:after="120" w:line="240" w:lineRule="auto"/>
              <w:rPr>
                <w:color w:val="000000"/>
                <w:sz w:val="20"/>
                <w:szCs w:val="20"/>
              </w:rPr>
            </w:pPr>
          </w:p>
          <w:p w:rsidR="00584026" w:rsidRDefault="00584026" w:rsidP="00757C2F">
            <w:pPr>
              <w:widowControl/>
              <w:spacing w:after="12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35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18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Included</w:t>
            </w:r>
          </w:p>
        </w:tc>
        <w:tc>
          <w:tcPr>
            <w:tcW w:w="1890" w:type="dxa"/>
            <w:shd w:val="clear" w:color="auto" w:fill="auto"/>
          </w:tcPr>
          <w:p w:rsidR="00584026" w:rsidRDefault="00584026" w:rsidP="00757C2F">
            <w:pPr>
              <w:widowControl/>
              <w:spacing w:after="120" w:line="240" w:lineRule="auto"/>
              <w:ind w:left="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Service Extension - </w:t>
            </w:r>
            <w:hyperlink r:id="rId6" w:anchor="service-extension">
              <w:r>
                <w:rPr>
                  <w:color w:val="1155CC"/>
                  <w:sz w:val="20"/>
                  <w:szCs w:val="20"/>
                  <w:u w:val="single"/>
                </w:rPr>
                <w:t>terms here</w:t>
              </w:r>
            </w:hyperlink>
          </w:p>
        </w:tc>
      </w:tr>
    </w:tbl>
    <w:p w:rsidR="008D4707" w:rsidRDefault="008D4707"/>
    <w:sectPr w:rsidR="008D4707" w:rsidSect="005840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026"/>
    <w:rsid w:val="0042369F"/>
    <w:rsid w:val="00584026"/>
    <w:rsid w:val="008D4707"/>
    <w:rsid w:val="00D2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8F163"/>
  <w15:chartTrackingRefBased/>
  <w15:docId w15:val="{E6CE5C68-F237-4116-B84C-A89931961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026"/>
    <w:pPr>
      <w:widowControl w:val="0"/>
      <w:spacing w:after="0"/>
    </w:pPr>
    <w:rPr>
      <w:rFonts w:ascii="Arial" w:eastAsia="Arial" w:hAnsi="Arial" w:cs="Arial"/>
      <w:color w:val="332A2B"/>
      <w:sz w:val="22"/>
      <w:lang w:val="e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4026"/>
    <w:pPr>
      <w:keepNext/>
      <w:keepLines/>
      <w:spacing w:after="120" w:line="240" w:lineRule="auto"/>
      <w:outlineLvl w:val="0"/>
    </w:pPr>
    <w:rPr>
      <w:color w:val="000000"/>
      <w:sz w:val="60"/>
      <w:szCs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4026"/>
    <w:rPr>
      <w:rFonts w:ascii="Arial" w:eastAsia="Arial" w:hAnsi="Arial" w:cs="Arial"/>
      <w:color w:val="000000"/>
      <w:sz w:val="60"/>
      <w:szCs w:val="6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acquia.com/guide/service-level/" TargetMode="External"/><Relationship Id="rId5" Type="http://schemas.openxmlformats.org/officeDocument/2006/relationships/hyperlink" Target="https://docs.acquia.com/guide/service-level/" TargetMode="External"/><Relationship Id="rId4" Type="http://schemas.openxmlformats.org/officeDocument/2006/relationships/hyperlink" Target="https://docs.acquia.com/guide/service-leve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Virginia Information Technologies Agency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Scearce</dc:creator>
  <cp:keywords/>
  <dc:description/>
  <cp:lastModifiedBy>Gregory Scearce</cp:lastModifiedBy>
  <cp:revision>1</cp:revision>
  <dcterms:created xsi:type="dcterms:W3CDTF">2022-01-27T22:32:00Z</dcterms:created>
  <dcterms:modified xsi:type="dcterms:W3CDTF">2022-01-27T22:34:00Z</dcterms:modified>
</cp:coreProperties>
</file>