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591" w:rsidRDefault="00A742EC">
      <w:pPr>
        <w:pStyle w:val="Title"/>
        <w:ind w:left="0"/>
        <w:rPr>
          <w:color w:val="auto"/>
        </w:rPr>
      </w:pPr>
      <w:bookmarkStart w:id="0" w:name="_GoBack"/>
      <w:bookmarkEnd w:id="0"/>
      <w:r>
        <w:rPr>
          <w:color w:val="auto"/>
        </w:rPr>
        <w:t>LICENSE AGREEMENT addendum</w:t>
      </w:r>
    </w:p>
    <w:p w:rsidR="001D5591" w:rsidRDefault="001D5591">
      <w:pPr>
        <w:ind w:left="720"/>
        <w:rPr>
          <w:color w:val="auto"/>
        </w:rPr>
      </w:pPr>
    </w:p>
    <w:p w:rsidR="001D5591" w:rsidRDefault="00A742EC">
      <w:pPr>
        <w:spacing w:after="0"/>
        <w:rPr>
          <w:color w:val="auto"/>
        </w:rPr>
      </w:pPr>
      <w:bookmarkStart w:id="1" w:name="_Toc481764455"/>
      <w:bookmarkStart w:id="2" w:name="_Toc517062929"/>
      <w:r>
        <w:rPr>
          <w:color w:val="auto"/>
        </w:rPr>
        <w:t>The Virginia Information Technologies Agency (“</w:t>
      </w:r>
      <w:r>
        <w:rPr>
          <w:b/>
          <w:color w:val="auto"/>
        </w:rPr>
        <w:t>VITA</w:t>
      </w:r>
      <w:r>
        <w:rPr>
          <w:color w:val="auto"/>
        </w:rPr>
        <w:t xml:space="preserve">”), pursuant to </w:t>
      </w:r>
      <w:hyperlink r:id="rId8" w:history="1">
        <w:r>
          <w:rPr>
            <w:rStyle w:val="Hyperlink"/>
          </w:rPr>
          <w:t>§ 2.2-2012</w:t>
        </w:r>
      </w:hyperlink>
      <w:r>
        <w:rPr>
          <w:color w:val="auto"/>
        </w:rPr>
        <w:t xml:space="preserve"> of the </w:t>
      </w:r>
      <w:r>
        <w:rPr>
          <w:i/>
          <w:color w:val="auto"/>
        </w:rPr>
        <w:t>Code of Virginia</w:t>
      </w:r>
      <w:r>
        <w:rPr>
          <w:color w:val="auto"/>
        </w:rPr>
        <w:t xml:space="preserve"> (“</w:t>
      </w:r>
      <w:r>
        <w:rPr>
          <w:b/>
          <w:color w:val="auto"/>
        </w:rPr>
        <w:t>Code</w:t>
      </w:r>
      <w:r>
        <w:rPr>
          <w:color w:val="auto"/>
        </w:rPr>
        <w:t xml:space="preserve">”) </w:t>
      </w:r>
      <w:r>
        <w:rPr>
          <w:color w:val="auto"/>
        </w:rPr>
        <w:t>and on behalf of the Commonwealth of Virginia ( “</w:t>
      </w:r>
      <w:r>
        <w:rPr>
          <w:b/>
          <w:color w:val="auto"/>
        </w:rPr>
        <w:t>Commonwealth</w:t>
      </w:r>
      <w:r>
        <w:rPr>
          <w:color w:val="auto"/>
        </w:rPr>
        <w:t xml:space="preserve">”), and </w:t>
      </w:r>
      <w:r>
        <w:rPr>
          <w:color w:val="auto"/>
          <w:highlight w:val="cyan"/>
        </w:rPr>
        <w:t>__________</w:t>
      </w:r>
      <w:r>
        <w:rPr>
          <w:color w:val="auto"/>
        </w:rPr>
        <w:t xml:space="preserve"> (“</w:t>
      </w:r>
      <w:r>
        <w:rPr>
          <w:b/>
          <w:color w:val="auto"/>
        </w:rPr>
        <w:t>Supplier</w:t>
      </w:r>
      <w:r>
        <w:rPr>
          <w:color w:val="auto"/>
        </w:rPr>
        <w:t xml:space="preserve">”), a </w:t>
      </w:r>
      <w:r>
        <w:rPr>
          <w:color w:val="auto"/>
          <w:highlight w:val="cyan"/>
        </w:rPr>
        <w:t>__________</w:t>
      </w:r>
      <w:r>
        <w:rPr>
          <w:color w:val="auto"/>
        </w:rPr>
        <w:t xml:space="preserve"> in </w:t>
      </w:r>
      <w:r>
        <w:rPr>
          <w:color w:val="auto"/>
          <w:highlight w:val="cyan"/>
        </w:rPr>
        <w:t>__________</w:t>
      </w:r>
      <w:r>
        <w:rPr>
          <w:color w:val="auto"/>
        </w:rPr>
        <w:t xml:space="preserve">, F.E.I.N. </w:t>
      </w:r>
      <w:r>
        <w:rPr>
          <w:color w:val="auto"/>
          <w:highlight w:val="cyan"/>
        </w:rPr>
        <w:t>__________</w:t>
      </w:r>
      <w:r>
        <w:rPr>
          <w:color w:val="auto"/>
        </w:rPr>
        <w:t xml:space="preserve">, having its principal place of business at </w:t>
      </w:r>
      <w:r>
        <w:rPr>
          <w:color w:val="auto"/>
          <w:highlight w:val="cyan"/>
        </w:rPr>
        <w:t>__________</w:t>
      </w:r>
      <w:r>
        <w:rPr>
          <w:color w:val="auto"/>
        </w:rPr>
        <w:t>, are this day entering into a contract and, for their mutual</w:t>
      </w:r>
      <w:r>
        <w:rPr>
          <w:color w:val="auto"/>
        </w:rPr>
        <w:t xml:space="preserve"> convenience, the parties are using the standard form contract (</w:t>
      </w:r>
      <w:r>
        <w:rPr>
          <w:color w:val="auto"/>
          <w:highlight w:val="cyan"/>
        </w:rPr>
        <w:t>“__________”)</w:t>
      </w:r>
      <w:r>
        <w:rPr>
          <w:color w:val="auto"/>
        </w:rPr>
        <w:t xml:space="preserve"> provided by Supplier (“</w:t>
      </w:r>
      <w:r>
        <w:rPr>
          <w:b/>
          <w:color w:val="auto"/>
        </w:rPr>
        <w:t>Contract</w:t>
      </w:r>
      <w:r>
        <w:rPr>
          <w:color w:val="auto"/>
        </w:rPr>
        <w:t>”). This License Agreement Addendum (“</w:t>
      </w:r>
      <w:r>
        <w:rPr>
          <w:b/>
          <w:color w:val="auto"/>
        </w:rPr>
        <w:t>LAA</w:t>
      </w:r>
      <w:r>
        <w:rPr>
          <w:color w:val="auto"/>
        </w:rPr>
        <w:t>”), duly signed by the VITA and Supplier (each a “</w:t>
      </w:r>
      <w:r>
        <w:rPr>
          <w:b/>
          <w:color w:val="auto"/>
        </w:rPr>
        <w:t>Party</w:t>
      </w:r>
      <w:r>
        <w:rPr>
          <w:color w:val="auto"/>
        </w:rPr>
        <w:t xml:space="preserve">”), is attached to and made a part of the Contract </w:t>
      </w:r>
      <w:r>
        <w:rPr>
          <w:color w:val="auto"/>
        </w:rPr>
        <w:t xml:space="preserve">by incorporation, and with the Contract governs the use of any and all </w:t>
      </w:r>
      <w:r>
        <w:rPr>
          <w:color w:val="auto"/>
          <w:highlight w:val="cyan"/>
        </w:rPr>
        <w:t>___(name of)____</w:t>
      </w:r>
      <w:r>
        <w:rPr>
          <w:color w:val="auto"/>
        </w:rPr>
        <w:t xml:space="preserve"> Software (“</w:t>
      </w:r>
      <w:r>
        <w:rPr>
          <w:b/>
          <w:color w:val="auto"/>
        </w:rPr>
        <w:t>Software</w:t>
      </w:r>
      <w:r>
        <w:rPr>
          <w:color w:val="auto"/>
        </w:rPr>
        <w:t>”) licensed by the Commonwealth under the Contract and this LAA whether or not specifically referenced in the order document.</w:t>
      </w:r>
    </w:p>
    <w:p w:rsidR="001D5591" w:rsidRDefault="001D5591">
      <w:pPr>
        <w:spacing w:after="0"/>
        <w:rPr>
          <w:color w:val="auto"/>
        </w:rPr>
      </w:pPr>
    </w:p>
    <w:p w:rsidR="001D5591" w:rsidRDefault="00A742EC">
      <w:pPr>
        <w:tabs>
          <w:tab w:val="clear" w:pos="360"/>
        </w:tabs>
        <w:spacing w:after="0"/>
        <w:rPr>
          <w:color w:val="auto"/>
        </w:rPr>
      </w:pPr>
      <w:r>
        <w:rPr>
          <w:color w:val="auto"/>
        </w:rPr>
        <w:t xml:space="preserve">The Contract and this </w:t>
      </w:r>
      <w:r>
        <w:rPr>
          <w:color w:val="auto"/>
        </w:rPr>
        <w:t xml:space="preserve">LAA are signed by VITA on behalf of all public bodies, including VITA, as defined by </w:t>
      </w:r>
      <w:hyperlink r:id="rId9" w:history="1">
        <w:r>
          <w:rPr>
            <w:rStyle w:val="Hyperlink"/>
          </w:rPr>
          <w:t>§ 2.2-4301</w:t>
        </w:r>
      </w:hyperlink>
      <w:r>
        <w:rPr>
          <w:color w:val="auto"/>
        </w:rPr>
        <w:t xml:space="preserve"> and referenced by </w:t>
      </w:r>
      <w:hyperlink r:id="rId10" w:history="1">
        <w:r>
          <w:rPr>
            <w:rStyle w:val="Hyperlink"/>
          </w:rPr>
          <w:t>§ 2.2-4304</w:t>
        </w:r>
      </w:hyperlink>
      <w:r>
        <w:rPr>
          <w:color w:val="auto"/>
        </w:rPr>
        <w:t xml:space="preserve"> and </w:t>
      </w:r>
      <w:hyperlink r:id="rId11" w:history="1">
        <w:r>
          <w:rPr>
            <w:rStyle w:val="Hyperlink"/>
          </w:rPr>
          <w:t>§ 2.2-2012</w:t>
        </w:r>
      </w:hyperlink>
      <w:r>
        <w:rPr>
          <w:color w:val="auto"/>
        </w:rPr>
        <w:t xml:space="preserve"> of the Code, and </w:t>
      </w:r>
      <w:r>
        <w:t xml:space="preserve">private institutions of higher education which are listed at: </w:t>
      </w:r>
      <w:hyperlink r:id="rId12" w:history="1">
        <w:r>
          <w:rPr>
            <w:rStyle w:val="Hyperlink"/>
          </w:rPr>
          <w:t>http://www.cicv.org/Our-Colleges/Profiles.aspx</w:t>
        </w:r>
      </w:hyperlink>
      <w:r>
        <w:t>,</w:t>
      </w:r>
      <w:r>
        <w:rPr>
          <w:color w:val="auto"/>
        </w:rPr>
        <w:t xml:space="preserve"> (each an “</w:t>
      </w:r>
      <w:r>
        <w:rPr>
          <w:b/>
          <w:color w:val="auto"/>
        </w:rPr>
        <w:t>Authorized User</w:t>
      </w:r>
      <w:r>
        <w:rPr>
          <w:color w:val="auto"/>
        </w:rPr>
        <w:t xml:space="preserve">”). </w:t>
      </w:r>
    </w:p>
    <w:p w:rsidR="001D5591" w:rsidRDefault="001D5591">
      <w:pPr>
        <w:spacing w:after="0"/>
        <w:rPr>
          <w:color w:val="auto"/>
        </w:rPr>
      </w:pPr>
    </w:p>
    <w:p w:rsidR="001D5591" w:rsidRDefault="00A742EC">
      <w:pPr>
        <w:spacing w:after="0"/>
        <w:rPr>
          <w:color w:val="auto"/>
        </w:rPr>
      </w:pPr>
      <w:r>
        <w:rPr>
          <w:color w:val="auto"/>
        </w:rPr>
        <w:t>As used in this LAA, the term “</w:t>
      </w:r>
      <w:r>
        <w:rPr>
          <w:b/>
          <w:color w:val="auto"/>
        </w:rPr>
        <w:t>Contract</w:t>
      </w:r>
      <w:r>
        <w:rPr>
          <w:color w:val="auto"/>
        </w:rPr>
        <w:t>” means the Supplier’s standard form contract and any and all exhibits and attachments thereto. The term(s</w:t>
      </w:r>
      <w:r>
        <w:rPr>
          <w:color w:val="auto"/>
        </w:rPr>
        <w:t>) “</w:t>
      </w:r>
      <w:r>
        <w:rPr>
          <w:b/>
          <w:color w:val="auto"/>
        </w:rPr>
        <w:t>Customer</w:t>
      </w:r>
      <w:r>
        <w:rPr>
          <w:color w:val="auto"/>
        </w:rPr>
        <w:t>”, “</w:t>
      </w:r>
      <w:r>
        <w:rPr>
          <w:b/>
          <w:color w:val="auto"/>
        </w:rPr>
        <w:t>You</w:t>
      </w:r>
      <w:r>
        <w:rPr>
          <w:color w:val="auto"/>
        </w:rPr>
        <w:t>” or “</w:t>
      </w:r>
      <w:r>
        <w:rPr>
          <w:b/>
          <w:color w:val="auto"/>
        </w:rPr>
        <w:t>you</w:t>
      </w:r>
      <w:r>
        <w:rPr>
          <w:color w:val="auto"/>
        </w:rPr>
        <w:t>” as used in the Contract and this LAA mean(s), as applicable, VITA, the Commonwealth, any Authorized User, or any of their officers, directors, agents or employees.</w:t>
      </w:r>
    </w:p>
    <w:p w:rsidR="001D5591" w:rsidRDefault="001D5591">
      <w:pPr>
        <w:spacing w:after="0"/>
        <w:rPr>
          <w:color w:val="auto"/>
        </w:rPr>
      </w:pPr>
    </w:p>
    <w:p w:rsidR="001D5591" w:rsidRDefault="00A742EC">
      <w:pPr>
        <w:spacing w:after="0"/>
        <w:rPr>
          <w:color w:val="auto"/>
        </w:rPr>
      </w:pPr>
      <w:r>
        <w:rPr>
          <w:color w:val="auto"/>
        </w:rPr>
        <w:t xml:space="preserve">Supplier represents and warrants that it is a </w:t>
      </w:r>
      <w:r>
        <w:rPr>
          <w:color w:val="auto"/>
          <w:highlight w:val="cyan"/>
        </w:rPr>
        <w:t>__________</w:t>
      </w:r>
      <w:r>
        <w:rPr>
          <w:color w:val="auto"/>
        </w:rPr>
        <w:t xml:space="preserve"> autho</w:t>
      </w:r>
      <w:r>
        <w:rPr>
          <w:color w:val="auto"/>
        </w:rPr>
        <w:t xml:space="preserve">rized to do in business in Virginia. If Supplier is not a U.S.-based entity, Supplier maintains a registered agent and a certification of authority to do business in Virginia.  </w:t>
      </w:r>
    </w:p>
    <w:p w:rsidR="001D5591" w:rsidRDefault="001D5591">
      <w:pPr>
        <w:spacing w:after="0"/>
        <w:rPr>
          <w:color w:val="auto"/>
        </w:rPr>
      </w:pPr>
    </w:p>
    <w:p w:rsidR="001D5591" w:rsidRDefault="00A742EC">
      <w:pPr>
        <w:spacing w:after="120"/>
        <w:rPr>
          <w:color w:val="auto"/>
        </w:rPr>
      </w:pPr>
      <w:r>
        <w:rPr>
          <w:color w:val="auto"/>
        </w:rPr>
        <w:t>Any and all licenses granted or provided pursuant to the Contract and LAA wil</w:t>
      </w:r>
      <w:r>
        <w:rPr>
          <w:color w:val="auto"/>
        </w:rPr>
        <w:t>l be held by:</w:t>
      </w:r>
    </w:p>
    <w:p w:rsidR="001D5591" w:rsidRDefault="00A742EC">
      <w:pPr>
        <w:pStyle w:val="ListParagraph"/>
        <w:numPr>
          <w:ilvl w:val="0"/>
          <w:numId w:val="9"/>
        </w:numPr>
        <w:spacing w:after="120"/>
        <w:contextualSpacing w:val="0"/>
        <w:rPr>
          <w:color w:val="auto"/>
        </w:rPr>
      </w:pPr>
      <w:r>
        <w:rPr>
          <w:color w:val="auto"/>
        </w:rPr>
        <w:t xml:space="preserve">the Commonwealth, if the Authorized User is an agency as defined by </w:t>
      </w:r>
      <w:hyperlink r:id="rId13" w:history="1">
        <w:r>
          <w:rPr>
            <w:rStyle w:val="Hyperlink"/>
          </w:rPr>
          <w:t>§ 2.2-2006</w:t>
        </w:r>
      </w:hyperlink>
      <w:r>
        <w:rPr>
          <w:color w:val="auto"/>
        </w:rPr>
        <w:t xml:space="preserve"> of the Code or a legislative, judicial and independent agency of the Commo</w:t>
      </w:r>
      <w:r>
        <w:rPr>
          <w:color w:val="auto"/>
        </w:rPr>
        <w:t xml:space="preserve">nwealth, board, commission, or other quasi-political entity of the Commonwealth of Virginia or other body referenced in </w:t>
      </w:r>
      <w:hyperlink r:id="rId14" w:history="1">
        <w:r>
          <w:rPr>
            <w:rStyle w:val="Hyperlink"/>
          </w:rPr>
          <w:t>Title 2.2</w:t>
        </w:r>
      </w:hyperlink>
      <w:r>
        <w:rPr>
          <w:color w:val="auto"/>
        </w:rPr>
        <w:t xml:space="preserve"> of the Code; </w:t>
      </w:r>
    </w:p>
    <w:p w:rsidR="001D5591" w:rsidRDefault="00A742EC">
      <w:pPr>
        <w:pStyle w:val="ListParagraph"/>
        <w:numPr>
          <w:ilvl w:val="0"/>
          <w:numId w:val="9"/>
        </w:numPr>
        <w:spacing w:after="120"/>
        <w:contextualSpacing w:val="0"/>
        <w:rPr>
          <w:color w:val="auto"/>
        </w:rPr>
      </w:pPr>
      <w:r>
        <w:rPr>
          <w:color w:val="auto"/>
        </w:rPr>
        <w:t>the applicable public body, if the Authorized User is a locality, municipality, school, school system, college, university, local board, local commission, or local quasi-political entity; or</w:t>
      </w:r>
    </w:p>
    <w:p w:rsidR="001D5591" w:rsidRDefault="00A742EC">
      <w:pPr>
        <w:pStyle w:val="ListParagraph"/>
        <w:numPr>
          <w:ilvl w:val="0"/>
          <w:numId w:val="9"/>
        </w:numPr>
        <w:spacing w:after="0"/>
        <w:rPr>
          <w:color w:val="auto"/>
        </w:rPr>
      </w:pPr>
      <w:r>
        <w:rPr>
          <w:color w:val="auto"/>
        </w:rPr>
        <w:t>the applicable private institution of higher education, if the Au</w:t>
      </w:r>
      <w:r>
        <w:rPr>
          <w:color w:val="auto"/>
        </w:rPr>
        <w:t xml:space="preserve">thorized User is a private institution of higher education listed at: </w:t>
      </w:r>
      <w:hyperlink r:id="rId15" w:history="1">
        <w:r>
          <w:rPr>
            <w:rStyle w:val="Hyperlink"/>
          </w:rPr>
          <w:t>http://www.cicv.org/Our-Colleges/Profiles.aspx</w:t>
        </w:r>
      </w:hyperlink>
      <w:r>
        <w:rPr>
          <w:color w:val="auto"/>
        </w:rPr>
        <w:t>.</w:t>
      </w:r>
    </w:p>
    <w:p w:rsidR="001D5591" w:rsidRDefault="001D5591">
      <w:pPr>
        <w:spacing w:after="0"/>
        <w:rPr>
          <w:color w:val="auto"/>
        </w:rPr>
      </w:pPr>
    </w:p>
    <w:p w:rsidR="001D5591" w:rsidRDefault="00A742EC">
      <w:pPr>
        <w:spacing w:after="0"/>
        <w:rPr>
          <w:color w:val="auto"/>
        </w:rPr>
      </w:pPr>
      <w:r>
        <w:rPr>
          <w:color w:val="auto"/>
        </w:rPr>
        <w:t>Supplier’s Contract is acceptable to VITA, with the exceptions noted in thi</w:t>
      </w:r>
      <w:r>
        <w:rPr>
          <w:color w:val="auto"/>
        </w:rPr>
        <w:t>s LAA below. Despite the general acceptability of Supplier’s Contract, certain standard clauses may appear in, or be incorporated by reference into, the Contract that cannot be accepted by VITA. In consideration of the convenience of using Supplier’s stand</w:t>
      </w:r>
      <w:r>
        <w:rPr>
          <w:color w:val="auto"/>
        </w:rPr>
        <w:t>ard form contract without the necessity of specifically negotiating a separate contract document, the Parties specifically agree that if any of the following provisions appear in or are contained in the Contract, any such provisions are deemed void, and wi</w:t>
      </w:r>
      <w:r>
        <w:rPr>
          <w:color w:val="auto"/>
        </w:rPr>
        <w:t>ll not have any effect and will not be enforceable against VITA, the Commonwealth, any Authorized User, or any of their officers, directors, employees, or agents:</w:t>
      </w:r>
    </w:p>
    <w:p w:rsidR="001D5591" w:rsidRDefault="001D5591">
      <w:pPr>
        <w:spacing w:after="0"/>
        <w:rPr>
          <w:color w:val="auto"/>
        </w:rPr>
      </w:pPr>
    </w:p>
    <w:p w:rsidR="001D5591" w:rsidRDefault="00A742EC">
      <w:pPr>
        <w:pStyle w:val="ListNumber"/>
        <w:tabs>
          <w:tab w:val="clear" w:pos="360"/>
          <w:tab w:val="num" w:pos="720"/>
        </w:tabs>
        <w:spacing w:before="60"/>
        <w:ind w:left="720"/>
        <w:rPr>
          <w:color w:val="auto"/>
        </w:rPr>
      </w:pPr>
      <w:r>
        <w:rPr>
          <w:color w:val="auto"/>
        </w:rPr>
        <w:t>Requiring the application of the law of any state other than the Commonwealth of Virginia in</w:t>
      </w:r>
      <w:r>
        <w:rPr>
          <w:color w:val="auto"/>
        </w:rPr>
        <w:t xml:space="preserve"> interpreting or enforcing the Contract or requiring or permitting that any dispute under the Contract be resolved in any court other than a circuit court of the Commonwealth of Virginia;</w:t>
      </w:r>
    </w:p>
    <w:p w:rsidR="001D5591" w:rsidRDefault="00A742EC">
      <w:pPr>
        <w:pStyle w:val="ListNumber"/>
        <w:spacing w:before="60"/>
        <w:ind w:left="720"/>
        <w:rPr>
          <w:color w:val="auto"/>
        </w:rPr>
      </w:pPr>
      <w:r>
        <w:rPr>
          <w:color w:val="auto"/>
        </w:rPr>
        <w:t>Requiring any total or partial compensation or payment for lost prof</w:t>
      </w:r>
      <w:r>
        <w:rPr>
          <w:color w:val="auto"/>
        </w:rPr>
        <w:t>it or liquidated damages by any Customer if the Contract is terminated before the end of its ordinary term;</w:t>
      </w:r>
    </w:p>
    <w:p w:rsidR="001D5591" w:rsidRDefault="00A742EC">
      <w:pPr>
        <w:pStyle w:val="ListNumber"/>
        <w:spacing w:before="60"/>
        <w:ind w:left="720"/>
        <w:rPr>
          <w:color w:val="auto"/>
        </w:rPr>
      </w:pPr>
      <w:r>
        <w:rPr>
          <w:color w:val="auto"/>
        </w:rPr>
        <w:t xml:space="preserve">Imposing any interest charge(s) contrary to that specified by </w:t>
      </w:r>
      <w:hyperlink r:id="rId16" w:history="1">
        <w:r>
          <w:rPr>
            <w:rStyle w:val="Hyperlink"/>
          </w:rPr>
          <w:t xml:space="preserve">§ </w:t>
        </w:r>
        <w:r>
          <w:rPr>
            <w:rStyle w:val="Hyperlink"/>
          </w:rPr>
          <w:t>2.2-4347</w:t>
        </w:r>
      </w:hyperlink>
      <w:r>
        <w:rPr>
          <w:color w:val="auto"/>
        </w:rPr>
        <w:t xml:space="preserve"> </w:t>
      </w:r>
      <w:r>
        <w:rPr>
          <w:i/>
          <w:color w:val="auto"/>
        </w:rPr>
        <w:t>et seq.</w:t>
      </w:r>
      <w:r>
        <w:rPr>
          <w:color w:val="auto"/>
        </w:rPr>
        <w:t xml:space="preserve"> of the Code;  </w:t>
      </w:r>
    </w:p>
    <w:p w:rsidR="001D5591" w:rsidRDefault="00A742EC">
      <w:pPr>
        <w:pStyle w:val="ListNumber"/>
        <w:spacing w:before="60"/>
        <w:ind w:left="720"/>
        <w:rPr>
          <w:color w:val="auto"/>
        </w:rPr>
      </w:pPr>
      <w:r>
        <w:rPr>
          <w:color w:val="auto"/>
        </w:rPr>
        <w:t>Requiring the Commonwealth, VITA, or any Authorized User to maintain any type of insurance either for the benefit of the Commonwealth, VITA, or the Authorized User, or for Supplier’s benefit;</w:t>
      </w:r>
    </w:p>
    <w:p w:rsidR="001D5591" w:rsidRDefault="00A742EC">
      <w:pPr>
        <w:pStyle w:val="ListNumber"/>
        <w:spacing w:before="60"/>
        <w:ind w:left="720"/>
        <w:rPr>
          <w:color w:val="auto"/>
        </w:rPr>
      </w:pPr>
      <w:r>
        <w:rPr>
          <w:color w:val="auto"/>
        </w:rPr>
        <w:lastRenderedPageBreak/>
        <w:t xml:space="preserve">Granting Supplier a security </w:t>
      </w:r>
      <w:r>
        <w:rPr>
          <w:color w:val="auto"/>
        </w:rPr>
        <w:t xml:space="preserve">interest in any property of any Customer; </w:t>
      </w:r>
    </w:p>
    <w:p w:rsidR="001D5591" w:rsidRDefault="00A742EC">
      <w:pPr>
        <w:pStyle w:val="ListNumber"/>
        <w:spacing w:before="60"/>
        <w:ind w:left="720"/>
        <w:rPr>
          <w:color w:val="auto"/>
        </w:rPr>
      </w:pPr>
      <w:r>
        <w:rPr>
          <w:color w:val="auto"/>
        </w:rPr>
        <w:t>Requiring any Customer to indemnify, defend, or to hold harmless Supplier for any act or omission;</w:t>
      </w:r>
    </w:p>
    <w:p w:rsidR="001D5591" w:rsidRDefault="00A742EC">
      <w:pPr>
        <w:pStyle w:val="ListNumber"/>
        <w:spacing w:before="60"/>
        <w:ind w:left="720"/>
        <w:rPr>
          <w:color w:val="auto"/>
        </w:rPr>
      </w:pPr>
      <w:r>
        <w:rPr>
          <w:color w:val="auto"/>
        </w:rPr>
        <w:t xml:space="preserve">Limiting or adding to the time period within which claims can be made or actions can be brought (Reference </w:t>
      </w:r>
      <w:hyperlink r:id="rId17" w:history="1">
        <w:r>
          <w:rPr>
            <w:rStyle w:val="Hyperlink"/>
          </w:rPr>
          <w:t>§ 8.01</w:t>
        </w:r>
      </w:hyperlink>
      <w:r>
        <w:rPr>
          <w:color w:val="auto"/>
        </w:rPr>
        <w:t xml:space="preserve"> </w:t>
      </w:r>
      <w:r>
        <w:rPr>
          <w:i/>
          <w:color w:val="auto"/>
        </w:rPr>
        <w:t>et seq.</w:t>
      </w:r>
      <w:r>
        <w:rPr>
          <w:color w:val="auto"/>
        </w:rPr>
        <w:t xml:space="preserve"> of the Code);</w:t>
      </w:r>
    </w:p>
    <w:p w:rsidR="001D5591" w:rsidRDefault="00A742EC">
      <w:pPr>
        <w:pStyle w:val="ListNumber"/>
        <w:spacing w:before="60"/>
        <w:ind w:left="720"/>
        <w:rPr>
          <w:color w:val="auto"/>
        </w:rPr>
      </w:pPr>
      <w:r>
        <w:rPr>
          <w:color w:val="auto"/>
        </w:rPr>
        <w:t xml:space="preserve">Limiting selection and approval of counsel and approval of any settlement in any claim arising under the Contract and in which any Customer is a named party;  </w:t>
      </w:r>
    </w:p>
    <w:p w:rsidR="001D5591" w:rsidRDefault="00A742EC">
      <w:pPr>
        <w:pStyle w:val="ListNumber"/>
        <w:spacing w:before="60"/>
        <w:ind w:left="720"/>
        <w:rPr>
          <w:color w:val="auto"/>
        </w:rPr>
      </w:pPr>
      <w:r>
        <w:rPr>
          <w:color w:val="auto"/>
        </w:rPr>
        <w:t>Bindi</w:t>
      </w:r>
      <w:r>
        <w:rPr>
          <w:color w:val="auto"/>
        </w:rPr>
        <w:t>ng any Customer to any arbitration or to the decision of any arbitration board, commission, panel or other entity;</w:t>
      </w:r>
    </w:p>
    <w:p w:rsidR="001D5591" w:rsidRDefault="00A742EC">
      <w:pPr>
        <w:pStyle w:val="ListNumber"/>
        <w:spacing w:before="60"/>
        <w:ind w:left="720"/>
        <w:rPr>
          <w:color w:val="auto"/>
        </w:rPr>
      </w:pPr>
      <w:r>
        <w:rPr>
          <w:color w:val="auto"/>
        </w:rPr>
        <w:t xml:space="preserve">Obligating any Customer to pay costs of collection or attorney’s fees;  </w:t>
      </w:r>
    </w:p>
    <w:p w:rsidR="001D5591" w:rsidRDefault="00A742EC">
      <w:pPr>
        <w:pStyle w:val="ListNumber"/>
        <w:spacing w:before="60"/>
        <w:ind w:left="720"/>
        <w:rPr>
          <w:color w:val="auto"/>
        </w:rPr>
      </w:pPr>
      <w:r>
        <w:rPr>
          <w:color w:val="auto"/>
        </w:rPr>
        <w:t>Requiring any dispute resolution procedure(s) other than those in ac</w:t>
      </w:r>
      <w:r>
        <w:rPr>
          <w:color w:val="auto"/>
        </w:rPr>
        <w:t xml:space="preserve">cordance with </w:t>
      </w:r>
      <w:hyperlink r:id="rId18" w:history="1">
        <w:r>
          <w:rPr>
            <w:rStyle w:val="Hyperlink"/>
          </w:rPr>
          <w:t>§ 2.2-4363</w:t>
        </w:r>
      </w:hyperlink>
      <w:r>
        <w:rPr>
          <w:color w:val="auto"/>
        </w:rPr>
        <w:t xml:space="preserve"> </w:t>
      </w:r>
      <w:r>
        <w:rPr>
          <w:i/>
          <w:color w:val="auto"/>
        </w:rPr>
        <w:t>et seq.</w:t>
      </w:r>
      <w:r>
        <w:rPr>
          <w:color w:val="auto"/>
        </w:rPr>
        <w:t xml:space="preserve"> of the Code;   </w:t>
      </w:r>
    </w:p>
    <w:p w:rsidR="001D5591" w:rsidRDefault="00A742EC">
      <w:pPr>
        <w:pStyle w:val="ListNumber"/>
        <w:spacing w:before="60"/>
        <w:ind w:left="720"/>
        <w:rPr>
          <w:color w:val="auto"/>
        </w:rPr>
      </w:pPr>
      <w:r>
        <w:rPr>
          <w:color w:val="auto"/>
        </w:rPr>
        <w:t xml:space="preserve">Permitting Supplier to access any Commonwealth or Authorized User records or data, except pursuant to court order;   </w:t>
      </w:r>
    </w:p>
    <w:p w:rsidR="001D5591" w:rsidRDefault="00A742EC">
      <w:pPr>
        <w:pStyle w:val="ListNumber"/>
        <w:spacing w:before="60"/>
        <w:ind w:left="720"/>
        <w:rPr>
          <w:color w:val="auto"/>
        </w:rPr>
      </w:pPr>
      <w:r>
        <w:rPr>
          <w:color w:val="auto"/>
        </w:rPr>
        <w:t>Pe</w:t>
      </w:r>
      <w:r>
        <w:rPr>
          <w:color w:val="auto"/>
        </w:rPr>
        <w:t xml:space="preserve">rmitting Supplier to use any information provided by any Customer except for Supplier’s own internal administrative purposes;  </w:t>
      </w:r>
    </w:p>
    <w:p w:rsidR="001D5591" w:rsidRDefault="00A742EC">
      <w:pPr>
        <w:pStyle w:val="ListNumber"/>
        <w:spacing w:before="60"/>
        <w:ind w:left="720"/>
        <w:rPr>
          <w:color w:val="auto"/>
        </w:rPr>
      </w:pPr>
      <w:r>
        <w:rPr>
          <w:color w:val="auto"/>
        </w:rPr>
        <w:t>Requiring any Customer to limit its rights or waive its remedies at law or in equity, including the right to a trial by jury;</w:t>
      </w:r>
    </w:p>
    <w:p w:rsidR="001D5591" w:rsidRDefault="00A742EC">
      <w:pPr>
        <w:pStyle w:val="ListNumber"/>
        <w:spacing w:before="60"/>
        <w:ind w:left="720"/>
        <w:rPr>
          <w:color w:val="auto"/>
        </w:rPr>
      </w:pPr>
      <w:r>
        <w:rPr>
          <w:color w:val="auto"/>
        </w:rPr>
        <w:t>Be</w:t>
      </w:r>
      <w:r>
        <w:rPr>
          <w:color w:val="auto"/>
        </w:rPr>
        <w:t>stowing any right, or incurring any obligation, that is beyond the duly granted authority of the undersigned representative of VITA to bestow, or incur, on behalf of the Commonwealth;</w:t>
      </w:r>
    </w:p>
    <w:p w:rsidR="001D5591" w:rsidRDefault="00A742EC">
      <w:pPr>
        <w:pStyle w:val="ListNumber"/>
        <w:spacing w:before="60"/>
        <w:ind w:left="720"/>
        <w:rPr>
          <w:color w:val="auto"/>
        </w:rPr>
      </w:pPr>
      <w:r>
        <w:rPr>
          <w:color w:val="auto"/>
        </w:rPr>
        <w:t xml:space="preserve">Establishing a presumption of severe or irreparable harm to Supplier by </w:t>
      </w:r>
      <w:r>
        <w:rPr>
          <w:color w:val="auto"/>
        </w:rPr>
        <w:t xml:space="preserve">the actions or inactions of VITA or any Authorized User; </w:t>
      </w:r>
    </w:p>
    <w:p w:rsidR="001D5591" w:rsidRDefault="00A742EC">
      <w:pPr>
        <w:pStyle w:val="ListNumber"/>
        <w:spacing w:before="60"/>
        <w:ind w:left="720"/>
        <w:rPr>
          <w:color w:val="auto"/>
        </w:rPr>
      </w:pPr>
      <w:r>
        <w:rPr>
          <w:color w:val="auto"/>
        </w:rPr>
        <w:t>Limiting the liability of Supplier for property damage, death, or personal injury;</w:t>
      </w:r>
    </w:p>
    <w:p w:rsidR="001D5591" w:rsidRDefault="00A742EC">
      <w:pPr>
        <w:pStyle w:val="ListNumber"/>
        <w:spacing w:before="60"/>
        <w:ind w:left="720"/>
        <w:rPr>
          <w:color w:val="auto"/>
        </w:rPr>
      </w:pPr>
      <w:r>
        <w:rPr>
          <w:color w:val="auto"/>
        </w:rPr>
        <w:t>Permitting Supplier to assign, subcontract, delegate or otherwise convey the Contract, or any of its rights and obl</w:t>
      </w:r>
      <w:r>
        <w:rPr>
          <w:color w:val="auto"/>
        </w:rPr>
        <w:t>igations under the Contract, to any entity without the prior written consent of VITA, except as set forth in paragraph 40 below;</w:t>
      </w:r>
    </w:p>
    <w:p w:rsidR="001D5591" w:rsidRDefault="00A742EC">
      <w:pPr>
        <w:pStyle w:val="ListNumber"/>
        <w:spacing w:before="60"/>
        <w:ind w:left="720"/>
        <w:rPr>
          <w:color w:val="auto"/>
        </w:rPr>
      </w:pPr>
      <w:r>
        <w:rPr>
          <w:color w:val="auto"/>
        </w:rPr>
        <w:t xml:space="preserve">Not complying with the contractual claims provision </w:t>
      </w:r>
      <w:hyperlink r:id="rId19" w:history="1">
        <w:r>
          <w:rPr>
            <w:rStyle w:val="Hyperlink"/>
          </w:rPr>
          <w:t>§ 2.2-4363</w:t>
        </w:r>
      </w:hyperlink>
      <w:r>
        <w:rPr>
          <w:color w:val="auto"/>
        </w:rPr>
        <w:t xml:space="preserve"> of the Code, which is also incorporated into this LAA and the Contract by reference;</w:t>
      </w:r>
    </w:p>
    <w:p w:rsidR="001D5591" w:rsidRDefault="00A742EC">
      <w:pPr>
        <w:pStyle w:val="ListNumber"/>
        <w:spacing w:before="60"/>
        <w:ind w:left="720"/>
        <w:rPr>
          <w:color w:val="auto"/>
        </w:rPr>
      </w:pPr>
      <w:r>
        <w:rPr>
          <w:color w:val="auto"/>
        </w:rPr>
        <w:t>Enforcing the United Nations Convention on Contracts for the International Sale of Goods and all other laws and international treaties or convention</w:t>
      </w:r>
      <w:r>
        <w:rPr>
          <w:color w:val="auto"/>
        </w:rPr>
        <w:t xml:space="preserve">s relating to the sale of goods. They are expressly disclaimed. UCITA shall apply to this Contract only to the extent required by </w:t>
      </w:r>
      <w:hyperlink r:id="rId20" w:history="1">
        <w:r>
          <w:rPr>
            <w:rStyle w:val="Hyperlink"/>
          </w:rPr>
          <w:t>§ 59.1-501.15</w:t>
        </w:r>
      </w:hyperlink>
      <w:r>
        <w:rPr>
          <w:color w:val="auto"/>
        </w:rPr>
        <w:t xml:space="preserve"> of the Code;</w:t>
      </w:r>
    </w:p>
    <w:p w:rsidR="001D5591" w:rsidRDefault="00A742EC">
      <w:pPr>
        <w:pStyle w:val="ListNumber"/>
        <w:spacing w:before="60"/>
        <w:ind w:left="720"/>
        <w:rPr>
          <w:color w:val="auto"/>
        </w:rPr>
      </w:pPr>
      <w:r>
        <w:rPr>
          <w:color w:val="auto"/>
        </w:rPr>
        <w:t>Not comp</w:t>
      </w:r>
      <w:r>
        <w:rPr>
          <w:color w:val="auto"/>
        </w:rPr>
        <w:t xml:space="preserve">lying with all applicable federal, state, and local laws, regulations, and ordinances; </w:t>
      </w:r>
    </w:p>
    <w:p w:rsidR="001D5591" w:rsidRDefault="00A742EC">
      <w:pPr>
        <w:pStyle w:val="ListNumber"/>
        <w:spacing w:before="60"/>
        <w:ind w:left="720"/>
        <w:rPr>
          <w:color w:val="auto"/>
        </w:rPr>
      </w:pPr>
      <w:r>
        <w:rPr>
          <w:color w:val="auto"/>
        </w:rPr>
        <w:t>Requiring that the Commonwealth waive its sovereign immunity or its immunity under the Eleventh Amendment;</w:t>
      </w:r>
    </w:p>
    <w:p w:rsidR="001D5591" w:rsidRDefault="00A742EC">
      <w:pPr>
        <w:pStyle w:val="ListNumber"/>
        <w:spacing w:before="60"/>
        <w:ind w:left="720"/>
        <w:rPr>
          <w:color w:val="auto"/>
        </w:rPr>
      </w:pPr>
      <w:r>
        <w:rPr>
          <w:color w:val="auto"/>
        </w:rPr>
        <w:t>Requiring that the Commonwealth, which is tax exempt, be resp</w:t>
      </w:r>
      <w:r>
        <w:rPr>
          <w:color w:val="auto"/>
        </w:rPr>
        <w:t>onsible for payment of any taxes, duties, or penalties;</w:t>
      </w:r>
    </w:p>
    <w:p w:rsidR="001D5591" w:rsidRDefault="00A742EC">
      <w:pPr>
        <w:pStyle w:val="ListNumber"/>
        <w:spacing w:before="60"/>
        <w:ind w:left="720"/>
        <w:rPr>
          <w:color w:val="auto"/>
        </w:rPr>
      </w:pPr>
      <w:r>
        <w:rPr>
          <w:color w:val="auto"/>
        </w:rPr>
        <w:t>Requiring or construing that any provision in this Contract conveys any rights or interest in Commonwealth or Authorized User data to Supplier;</w:t>
      </w:r>
    </w:p>
    <w:p w:rsidR="001D5591" w:rsidRDefault="00A742EC">
      <w:pPr>
        <w:pStyle w:val="ListNumber"/>
        <w:spacing w:before="60"/>
        <w:ind w:left="720"/>
        <w:rPr>
          <w:color w:val="auto"/>
        </w:rPr>
      </w:pPr>
      <w:r>
        <w:rPr>
          <w:color w:val="auto"/>
        </w:rPr>
        <w:t>Requiring the use of foreign currency. The currency used</w:t>
      </w:r>
      <w:r>
        <w:rPr>
          <w:color w:val="auto"/>
        </w:rPr>
        <w:t xml:space="preserve"> for this Contract will be United States Dollars. Any claim which may arise pursuant to the Contract and LAA be settled in United States Dollars;</w:t>
      </w:r>
    </w:p>
    <w:p w:rsidR="001D5591" w:rsidRDefault="00A742EC">
      <w:pPr>
        <w:pStyle w:val="ListNumber"/>
        <w:spacing w:before="60"/>
        <w:ind w:left="720"/>
        <w:rPr>
          <w:color w:val="auto"/>
        </w:rPr>
      </w:pPr>
      <w:r>
        <w:rPr>
          <w:color w:val="auto"/>
        </w:rPr>
        <w:t>Obligating the Commonwealth beyond approved and appropriated funding. All payment obligations from public bodi</w:t>
      </w:r>
      <w:r>
        <w:rPr>
          <w:color w:val="auto"/>
        </w:rPr>
        <w:t>es under this contract are subject to the availability of any combination of federal, state, or local appropriations for this purpose. In the event of non-appropriation of funds for the items under the Contract, VITA may terminate, in whole or in part, the</w:t>
      </w:r>
      <w:r>
        <w:rPr>
          <w:color w:val="auto"/>
        </w:rPr>
        <w:t xml:space="preserve"> Contract or any order, for those goods or services for which funds have not been appropriated. This may extend to the renewal of maintenance services for only some of the licenses granted by Supplier. The applicable Customer shall provide written notice t</w:t>
      </w:r>
      <w:r>
        <w:rPr>
          <w:color w:val="auto"/>
        </w:rPr>
        <w:t xml:space="preserve">o the Supplier as soon as possible after legislative action is completed. There will be no time limit for termination due to termination for lack of appropriations;  </w:t>
      </w:r>
    </w:p>
    <w:p w:rsidR="001D5591" w:rsidRDefault="00A742EC">
      <w:pPr>
        <w:pStyle w:val="ListNumber"/>
        <w:spacing w:before="60"/>
        <w:ind w:left="720"/>
        <w:rPr>
          <w:color w:val="auto"/>
        </w:rPr>
      </w:pPr>
      <w:r>
        <w:rPr>
          <w:color w:val="auto"/>
        </w:rPr>
        <w:t xml:space="preserve">Permitting unilateral modification of the contract by Supplier; </w:t>
      </w:r>
    </w:p>
    <w:p w:rsidR="001D5591" w:rsidRDefault="00A742EC">
      <w:pPr>
        <w:pStyle w:val="ListNumber"/>
        <w:spacing w:before="60"/>
        <w:ind w:left="720"/>
        <w:rPr>
          <w:color w:val="auto"/>
        </w:rPr>
      </w:pPr>
      <w:r>
        <w:rPr>
          <w:color w:val="auto"/>
        </w:rPr>
        <w:lastRenderedPageBreak/>
        <w:t>Permitting termination by Supplier of the Contract or the licenses granted pursuant to the Contract, or permitting suspension of services by Supplier, except pursuant to an order from a court of competent jurisdiction;</w:t>
      </w:r>
    </w:p>
    <w:p w:rsidR="001D5591" w:rsidRDefault="00A742EC">
      <w:pPr>
        <w:pStyle w:val="ListNumber"/>
        <w:spacing w:before="60"/>
        <w:ind w:left="720"/>
        <w:rPr>
          <w:color w:val="auto"/>
        </w:rPr>
      </w:pPr>
      <w:r>
        <w:rPr>
          <w:color w:val="auto"/>
        </w:rPr>
        <w:t>Requiring or stating that the terms o</w:t>
      </w:r>
      <w:r>
        <w:rPr>
          <w:color w:val="auto"/>
        </w:rPr>
        <w:t>f the Supplier’s standard form contract will prevail over the terms of this LAA in the event of conflict;</w:t>
      </w:r>
    </w:p>
    <w:p w:rsidR="001D5591" w:rsidRDefault="00A742EC">
      <w:pPr>
        <w:pStyle w:val="ListNumber"/>
        <w:spacing w:before="60"/>
        <w:ind w:left="720"/>
        <w:rPr>
          <w:color w:val="auto"/>
        </w:rPr>
      </w:pPr>
      <w:r>
        <w:rPr>
          <w:color w:val="auto"/>
        </w:rPr>
        <w:t>Renewing or extending the Contract beyond the initial term or automatically continuing the contract period from term to term;</w:t>
      </w:r>
    </w:p>
    <w:p w:rsidR="001D5591" w:rsidRDefault="00A742EC">
      <w:pPr>
        <w:pStyle w:val="ListNumber"/>
        <w:spacing w:before="60"/>
        <w:ind w:left="720"/>
        <w:rPr>
          <w:color w:val="auto"/>
        </w:rPr>
      </w:pPr>
      <w:r>
        <w:rPr>
          <w:color w:val="auto"/>
        </w:rPr>
        <w:t>Requiring that the Contr</w:t>
      </w:r>
      <w:r>
        <w:rPr>
          <w:color w:val="auto"/>
        </w:rPr>
        <w:t>act be “accepted” or endorsed by the home office or by any other officer subsequent to signing by an official of VITA before the contract is considered in effect;</w:t>
      </w:r>
    </w:p>
    <w:p w:rsidR="001D5591" w:rsidRDefault="00A742EC">
      <w:pPr>
        <w:pStyle w:val="ListNumber"/>
        <w:spacing w:before="60"/>
        <w:ind w:left="720"/>
        <w:rPr>
          <w:color w:val="auto"/>
        </w:rPr>
      </w:pPr>
      <w:r>
        <w:rPr>
          <w:color w:val="auto"/>
        </w:rPr>
        <w:t xml:space="preserve">Delaying the acceptance of the Contract or its effective date beyond the date of signing; </w:t>
      </w:r>
    </w:p>
    <w:p w:rsidR="001D5591" w:rsidRDefault="00A742EC">
      <w:pPr>
        <w:pStyle w:val="ListNumber"/>
        <w:spacing w:before="60"/>
        <w:ind w:left="720"/>
        <w:rPr>
          <w:color w:val="auto"/>
        </w:rPr>
      </w:pPr>
      <w:r>
        <w:rPr>
          <w:color w:val="auto"/>
        </w:rPr>
        <w:t>De</w:t>
      </w:r>
      <w:r>
        <w:rPr>
          <w:color w:val="auto"/>
        </w:rPr>
        <w:t>fining “perpetual” license rights to have any meaning other than license rights that exist in perpetuity unless otherwise terminated in accordance with the applicable provisions of the Contract;</w:t>
      </w:r>
    </w:p>
    <w:p w:rsidR="001D5591" w:rsidRDefault="00A742EC">
      <w:pPr>
        <w:pStyle w:val="ListNumber"/>
        <w:spacing w:before="60"/>
        <w:ind w:left="720"/>
        <w:rPr>
          <w:color w:val="auto"/>
        </w:rPr>
      </w:pPr>
      <w:r>
        <w:rPr>
          <w:color w:val="auto"/>
        </w:rPr>
        <w:t xml:space="preserve">Permitting modification or replacement of the Contract </w:t>
      </w:r>
      <w:r>
        <w:rPr>
          <w:color w:val="auto"/>
        </w:rPr>
        <w:t xml:space="preserve">pursuant to any new release, update or upgrade of Software, or subsequent renewal of maintenance. If Supplier provides to any Authorized User an update or upgrade subject to additional payment, the Authorized User will have the right to reject such update </w:t>
      </w:r>
      <w:r>
        <w:rPr>
          <w:color w:val="auto"/>
        </w:rPr>
        <w:t xml:space="preserve">or upgrade; </w:t>
      </w:r>
    </w:p>
    <w:p w:rsidR="001D5591" w:rsidRDefault="00A742EC">
      <w:pPr>
        <w:pStyle w:val="ListNumber"/>
        <w:spacing w:before="60"/>
        <w:ind w:left="720"/>
        <w:rPr>
          <w:color w:val="auto"/>
        </w:rPr>
      </w:pPr>
      <w:r>
        <w:rPr>
          <w:color w:val="auto"/>
        </w:rPr>
        <w:t>Requiring the purchase of a new release, update, or upgrade of Software, or subsequent renewal of maintenance, in order for any Customer to receive or maintain the benefits of Supplier’s indemnification of the Commonwealth, VITA, or an applica</w:t>
      </w:r>
      <w:r>
        <w:rPr>
          <w:color w:val="auto"/>
        </w:rPr>
        <w:t xml:space="preserve">ble Authorized User against any claims of infringement on any third-party intellectual property rights; </w:t>
      </w:r>
    </w:p>
    <w:p w:rsidR="001D5591" w:rsidRDefault="00A742EC">
      <w:pPr>
        <w:pStyle w:val="ListNumber"/>
        <w:spacing w:before="60"/>
        <w:ind w:left="720"/>
        <w:rPr>
          <w:color w:val="auto"/>
        </w:rPr>
      </w:pPr>
      <w:r>
        <w:rPr>
          <w:color w:val="auto"/>
        </w:rPr>
        <w:t>Prohibiting any Customer from transferring or assigning to any entity the Contract or any license to Software granted pursuant to the Contract;</w:t>
      </w:r>
    </w:p>
    <w:p w:rsidR="001D5591" w:rsidRDefault="00A742EC">
      <w:pPr>
        <w:pStyle w:val="ListNumber"/>
        <w:spacing w:before="60"/>
        <w:ind w:left="720"/>
        <w:rPr>
          <w:color w:val="auto"/>
        </w:rPr>
      </w:pPr>
      <w:r>
        <w:rPr>
          <w:color w:val="auto"/>
        </w:rPr>
        <w:t>Grantin</w:t>
      </w:r>
      <w:r>
        <w:rPr>
          <w:color w:val="auto"/>
        </w:rPr>
        <w:t>g Supplier or an agent of Supplier the right to audit or examine the books, records, or accounts of any Customer; or</w:t>
      </w:r>
    </w:p>
    <w:p w:rsidR="001D5591" w:rsidRDefault="00A742EC">
      <w:pPr>
        <w:pStyle w:val="ListNumber"/>
        <w:spacing w:before="60" w:after="120"/>
        <w:ind w:left="720"/>
        <w:rPr>
          <w:color w:val="4F81BD"/>
        </w:rPr>
      </w:pPr>
      <w:r>
        <w:rPr>
          <w:color w:val="auto"/>
        </w:rPr>
        <w:t>Not complying with the contractual provisions at the following URL, which are mandatory provisions, required by law or by VITA, that are he</w:t>
      </w:r>
      <w:r>
        <w:rPr>
          <w:color w:val="auto"/>
        </w:rPr>
        <w:t xml:space="preserve">reby incorporated by reference: </w:t>
      </w:r>
      <w:hyperlink r:id="rId21" w:history="1">
        <w:r>
          <w:rPr>
            <w:rStyle w:val="Hyperlink"/>
          </w:rPr>
          <w:t>https://www.vita.virginia.gov/media/vitavirginiagov/supply-chain/pdf/StatutorilyMandatedTsandCs.pdf</w:t>
        </w:r>
      </w:hyperlink>
      <w:r>
        <w:rPr>
          <w:color w:val="4F81BD"/>
        </w:rPr>
        <w:t xml:space="preserve">. </w:t>
      </w:r>
      <w:r>
        <w:rPr>
          <w:color w:val="auto"/>
        </w:rPr>
        <w:t>The term</w:t>
      </w:r>
      <w:r>
        <w:rPr>
          <w:color w:val="auto"/>
        </w:rPr>
        <w:t>s and conditions in documents posted to the aforereferenced URL are subject to change pursuant to action by the legislature of the Commonwealth of Virginia or a change in VITA policy. If a change is made to the terms and conditions, a new effective date wi</w:t>
      </w:r>
      <w:r>
        <w:rPr>
          <w:color w:val="auto"/>
        </w:rPr>
        <w:t>ll be noted in the document title. Supplier is advised to check the URL periodically.</w:t>
      </w:r>
    </w:p>
    <w:p w:rsidR="001D5591" w:rsidRDefault="00A742EC">
      <w:pPr>
        <w:pStyle w:val="BodyText"/>
        <w:spacing w:before="60" w:afterLines="60" w:after="144"/>
        <w:rPr>
          <w:color w:val="auto"/>
        </w:rPr>
      </w:pPr>
      <w:r>
        <w:rPr>
          <w:color w:val="auto"/>
        </w:rPr>
        <w:t>In addition to the provisions set forth above, the Parties further agree as follows:</w:t>
      </w:r>
    </w:p>
    <w:p w:rsidR="001D5591" w:rsidRDefault="00A742EC">
      <w:pPr>
        <w:pStyle w:val="ListNumber"/>
        <w:tabs>
          <w:tab w:val="clear" w:pos="360"/>
          <w:tab w:val="num" w:pos="720"/>
        </w:tabs>
        <w:spacing w:before="60"/>
        <w:ind w:left="720"/>
        <w:rPr>
          <w:color w:val="auto"/>
        </w:rPr>
      </w:pPr>
      <w:r>
        <w:rPr>
          <w:color w:val="auto"/>
        </w:rPr>
        <w:t xml:space="preserve">Supplier warrants that it is the owner of the Software or otherwise has the right to </w:t>
      </w:r>
      <w:r>
        <w:rPr>
          <w:color w:val="auto"/>
        </w:rPr>
        <w:t>grant to all Authorized Users the license to use the Software granted under the Contract without violating or infringing any law, rule, regulation, copyright, patent, trade secret, or other proprietary right of any third party.</w:t>
      </w:r>
    </w:p>
    <w:p w:rsidR="001D5591" w:rsidRDefault="00A742EC">
      <w:pPr>
        <w:pStyle w:val="ListNumber"/>
        <w:tabs>
          <w:tab w:val="clear" w:pos="360"/>
          <w:tab w:val="num" w:pos="720"/>
        </w:tabs>
        <w:spacing w:before="60"/>
        <w:ind w:left="720"/>
        <w:rPr>
          <w:color w:val="auto"/>
        </w:rPr>
      </w:pPr>
      <w:r>
        <w:rPr>
          <w:color w:val="auto"/>
        </w:rPr>
        <w:t>Supplier may assign all or a</w:t>
      </w:r>
      <w:r>
        <w:rPr>
          <w:color w:val="auto"/>
        </w:rPr>
        <w:t>ny of its rights and obligations to a third party as a result of a merger or acquisition or sale of all or substantially all of its assets to the third party so long as Supplier’s assignee agrees in writing to be bound by the terms and conditions set forth</w:t>
      </w:r>
      <w:r>
        <w:rPr>
          <w:color w:val="auto"/>
        </w:rPr>
        <w:t xml:space="preserve"> in the Contract, and provided the third party is a U.S.-based entity or maintains a registered agent and a certification of authority to do business in Virginia. Supplier may assign all or any of its rights and obligations to an affiliate of Supplier, pro</w:t>
      </w:r>
      <w:r>
        <w:rPr>
          <w:color w:val="auto"/>
        </w:rPr>
        <w:t>vided Supplier remains liable for the affiliate’s compliance with the terms and conditions set forth in this Contract</w:t>
      </w:r>
    </w:p>
    <w:p w:rsidR="001D5591" w:rsidRDefault="00A742EC">
      <w:pPr>
        <w:pStyle w:val="ListNumber"/>
        <w:tabs>
          <w:tab w:val="clear" w:pos="360"/>
          <w:tab w:val="num" w:pos="720"/>
        </w:tabs>
        <w:spacing w:before="60"/>
        <w:ind w:left="720"/>
        <w:rPr>
          <w:color w:val="auto"/>
        </w:rPr>
      </w:pPr>
      <w:r>
        <w:rPr>
          <w:color w:val="auto"/>
        </w:rPr>
        <w:t xml:space="preserve">Supplier indemnify and defend the Commonwealth, VITA, any Authorized User, their officers, directors, agents and employees (collectively, </w:t>
      </w:r>
      <w:r>
        <w:rPr>
          <w:color w:val="auto"/>
        </w:rPr>
        <w:t>“</w:t>
      </w:r>
      <w:r>
        <w:rPr>
          <w:b/>
          <w:color w:val="auto"/>
        </w:rPr>
        <w:t>Commonwealth’s Indemnified Parties</w:t>
      </w:r>
      <w:r>
        <w:rPr>
          <w:color w:val="auto"/>
        </w:rPr>
        <w:t>”) from and against any and all third party claims, demands, proceedings, suits and actions, including any related liabilities, obligations, losses, damages, fines, judgments, settlements, expenses (including attorneys’ a</w:t>
      </w:r>
      <w:r>
        <w:rPr>
          <w:color w:val="auto"/>
        </w:rPr>
        <w:t>nd accountants’ fees and disbursements) and costs (each, a “</w:t>
      </w:r>
      <w:r>
        <w:rPr>
          <w:b/>
          <w:color w:val="auto"/>
        </w:rPr>
        <w:t>Claim</w:t>
      </w:r>
      <w:r>
        <w:rPr>
          <w:color w:val="auto"/>
        </w:rPr>
        <w:t>” and collectively, “</w:t>
      </w:r>
      <w:r>
        <w:rPr>
          <w:b/>
          <w:color w:val="auto"/>
        </w:rPr>
        <w:t>Claims</w:t>
      </w:r>
      <w:r>
        <w:rPr>
          <w:color w:val="auto"/>
        </w:rPr>
        <w:t xml:space="preserve">”), incurred by, borne by or asserted against any of Commonwealth’s Indemnified Parties to the extent the Claims in any way relate to, arise out of or result from: </w:t>
      </w:r>
      <w:r>
        <w:rPr>
          <w:color w:val="auto"/>
        </w:rPr>
        <w:t xml:space="preserve">(i) any negligent act, negligent omission, or intentional or willful conduct of any employee or </w:t>
      </w:r>
      <w:r>
        <w:rPr>
          <w:color w:val="auto"/>
        </w:rPr>
        <w:lastRenderedPageBreak/>
        <w:t>subcontractor of Supplier, (ii) any breach of any representation, warranty or covenant of Supplier contained in the Contract and LAA, (iii) any defect in the So</w:t>
      </w:r>
      <w:r>
        <w:rPr>
          <w:color w:val="auto"/>
        </w:rPr>
        <w:t>ftware, or (iv) any actual or alleged infringement or misappropriation of any third party’s intellectual property rights by any of the Software. Supplier will be solely responsible for all reasonable costs and expenses associated with the defense against a</w:t>
      </w:r>
      <w:r>
        <w:rPr>
          <w:color w:val="auto"/>
        </w:rPr>
        <w:t xml:space="preserve">ny third party Claim. Pursuant to </w:t>
      </w:r>
      <w:hyperlink r:id="rId22" w:history="1">
        <w:r>
          <w:rPr>
            <w:rStyle w:val="Hyperlink"/>
          </w:rPr>
          <w:t>§ 2.2-510</w:t>
        </w:r>
      </w:hyperlink>
      <w:r>
        <w:rPr>
          <w:color w:val="auto"/>
        </w:rPr>
        <w:t xml:space="preserve"> and </w:t>
      </w:r>
      <w:hyperlink r:id="rId23" w:history="1">
        <w:r>
          <w:rPr>
            <w:rStyle w:val="Hyperlink"/>
          </w:rPr>
          <w:t>§ 2.2-514</w:t>
        </w:r>
      </w:hyperlink>
      <w:r>
        <w:rPr>
          <w:color w:val="auto"/>
        </w:rPr>
        <w:t xml:space="preserve"> of the Code, the selection a</w:t>
      </w:r>
      <w:r>
        <w:rPr>
          <w:color w:val="auto"/>
        </w:rPr>
        <w:t xml:space="preserve">nd approval of counsel and approval of any settlement will be satisfactory to the Commonwealth, the Commonwealth’s approval not to be unreasonably withheld. In the event of a settlement between Supplier and a private institution of higher education who is </w:t>
      </w:r>
      <w:r>
        <w:rPr>
          <w:color w:val="auto"/>
        </w:rPr>
        <w:t>an Authorized User of this Contract, the settlement will be satisfactory to that institution.</w:t>
      </w:r>
    </w:p>
    <w:p w:rsidR="001D5591" w:rsidRDefault="00A742EC">
      <w:pPr>
        <w:pStyle w:val="ListNumber"/>
        <w:tabs>
          <w:tab w:val="clear" w:pos="360"/>
          <w:tab w:val="num" w:pos="720"/>
        </w:tabs>
        <w:spacing w:before="60"/>
        <w:ind w:left="720"/>
        <w:rPr>
          <w:color w:val="auto"/>
        </w:rPr>
      </w:pPr>
      <w:r>
        <w:rPr>
          <w:color w:val="auto"/>
        </w:rPr>
        <w:t>Any Authorized User may rely on independent contractors, acting on behalf of the Authorized User, to perform functions requiring the use of and access to the Soft</w:t>
      </w:r>
      <w:r>
        <w:rPr>
          <w:color w:val="auto"/>
        </w:rPr>
        <w:t>ware. Nothing in the Contract will limit such third parties from using or accessing the Software in order to perform these functions. If any invention, work of authorship, or confidential information is developed exclusively by an employee, consultant, con</w:t>
      </w:r>
      <w:r>
        <w:rPr>
          <w:color w:val="auto"/>
        </w:rPr>
        <w:t>tractor, or subcontractor of an Authorized User during the performance of Services by Supplier, Supplier will have no ownership claim to such invention, work of authorship, or confidential information.</w:t>
      </w:r>
    </w:p>
    <w:p w:rsidR="001D5591" w:rsidRDefault="00A742EC">
      <w:pPr>
        <w:pStyle w:val="ListNumber"/>
        <w:tabs>
          <w:tab w:val="clear" w:pos="360"/>
          <w:tab w:val="num" w:pos="720"/>
        </w:tabs>
        <w:ind w:left="720"/>
        <w:rPr>
          <w:color w:val="auto"/>
        </w:rPr>
      </w:pPr>
      <w:r>
        <w:rPr>
          <w:color w:val="auto"/>
        </w:rPr>
        <w:t>A Customer will only be liable to pay for Supplier’s t</w:t>
      </w:r>
      <w:r>
        <w:rPr>
          <w:color w:val="auto"/>
        </w:rPr>
        <w:t>ravel-related expenses – including transportation, meals, lodging and incidental expenses – that have been authorized by the Authorized User in advance in the SOW. The travel-related expenses will be reimbursable at the then-current per diem amounts as pub</w:t>
      </w:r>
      <w:r>
        <w:rPr>
          <w:color w:val="auto"/>
        </w:rPr>
        <w:t>lished by the Virginia Department of Accounts (</w:t>
      </w:r>
      <w:hyperlink r:id="rId24" w:history="1">
        <w:r>
          <w:rPr>
            <w:rStyle w:val="Hyperlink"/>
          </w:rPr>
          <w:t>http://www.doa.virginia.gov/</w:t>
        </w:r>
      </w:hyperlink>
      <w:r>
        <w:rPr>
          <w:color w:val="auto"/>
        </w:rPr>
        <w:t xml:space="preserve">). Authorized Users who are not public bodies may have their own per diem amounts applicable to Supplier's pre-approved travel expenses. </w:t>
      </w:r>
      <w:r>
        <w:rPr>
          <w:color w:val="auto"/>
        </w:rPr>
        <w:t>All reimbursed expenses will be billed to the Authorized User on a pass-through basis without any markup by Supplier. At Authorized User’s request, Supplier shall provide copies of receipts for all travel expenses over US$30.00.</w:t>
      </w:r>
    </w:p>
    <w:p w:rsidR="001D5591" w:rsidRDefault="00A742EC">
      <w:pPr>
        <w:pStyle w:val="ListNumber"/>
        <w:tabs>
          <w:tab w:val="clear" w:pos="360"/>
          <w:tab w:val="num" w:pos="720"/>
        </w:tabs>
        <w:spacing w:before="60"/>
        <w:ind w:left="720"/>
        <w:rPr>
          <w:color w:val="auto"/>
        </w:rPr>
      </w:pPr>
      <w:r>
        <w:rPr>
          <w:color w:val="auto"/>
        </w:rPr>
        <w:t>A Customer may require that</w:t>
      </w:r>
      <w:r>
        <w:rPr>
          <w:color w:val="auto"/>
        </w:rPr>
        <w:t xml:space="preserve"> Supplier personnel submit to a criminal background check prior to performance of any services under the Contract.</w:t>
      </w:r>
    </w:p>
    <w:p w:rsidR="001D5591" w:rsidRDefault="00A742EC">
      <w:pPr>
        <w:pStyle w:val="ListNumber"/>
        <w:tabs>
          <w:tab w:val="clear" w:pos="360"/>
          <w:tab w:val="num" w:pos="720"/>
        </w:tabs>
        <w:ind w:left="720"/>
      </w:pPr>
      <w:r>
        <w:t xml:space="preserve">Payments for license fees, including subscription fees, and support services are only authorized to be made to the Supplier who has a direct </w:t>
      </w:r>
      <w:r>
        <w:t xml:space="preserve">contractual relationship with VITA via the Contract. Payments by a Customer will only be made to the Supplier via an order or Statement of Work issued pursuant to the Contract. </w:t>
      </w:r>
      <w:r>
        <w:rPr>
          <w:color w:val="auto"/>
        </w:rPr>
        <w:t xml:space="preserve">Payment to any software reseller or the software publisher/licensor who is not </w:t>
      </w:r>
      <w:r>
        <w:rPr>
          <w:color w:val="auto"/>
        </w:rPr>
        <w:t xml:space="preserve">the “Supplier” identified in VITA contract </w:t>
      </w:r>
      <w:r>
        <w:rPr>
          <w:color w:val="auto"/>
          <w:highlight w:val="cyan"/>
        </w:rPr>
        <w:t>[[VITA contract number]]</w:t>
      </w:r>
      <w:r>
        <w:rPr>
          <w:color w:val="auto"/>
        </w:rPr>
        <w:t xml:space="preserve"> is not authorized, and any invoice to any Customer will not be paid.</w:t>
      </w:r>
    </w:p>
    <w:p w:rsidR="001D5591" w:rsidRDefault="00A742EC">
      <w:pPr>
        <w:pStyle w:val="ListNumber"/>
        <w:numPr>
          <w:ilvl w:val="0"/>
          <w:numId w:val="0"/>
        </w:numPr>
        <w:spacing w:before="120" w:after="0"/>
        <w:rPr>
          <w:color w:val="auto"/>
        </w:rPr>
      </w:pPr>
      <w:r>
        <w:t>The agreement, consisting of the Contract and this LAA, constitute the entire agreement between the Parties and may not</w:t>
      </w:r>
      <w:r>
        <w:t xml:space="preserve"> be waived or modified except by written agreement between the Parties.</w:t>
      </w:r>
    </w:p>
    <w:p w:rsidR="001D5591" w:rsidRDefault="001D5591">
      <w:pPr>
        <w:spacing w:after="0"/>
        <w:rPr>
          <w:color w:val="auto"/>
        </w:rPr>
      </w:pPr>
    </w:p>
    <w:p w:rsidR="001D5591" w:rsidRDefault="00A742EC">
      <w:pPr>
        <w:spacing w:after="0"/>
        <w:rPr>
          <w:color w:val="auto"/>
        </w:rPr>
      </w:pPr>
      <w:r>
        <w:rPr>
          <w:color w:val="auto"/>
        </w:rPr>
        <w:t>The Contract and this LAA have been reviewed by staff of VITA. Its substantive terms are appropriate to the needs of VITA.</w:t>
      </w:r>
    </w:p>
    <w:p w:rsidR="001D5591" w:rsidRDefault="001D5591">
      <w:pPr>
        <w:spacing w:after="0"/>
        <w:rPr>
          <w:color w:val="auto"/>
        </w:rPr>
      </w:pPr>
    </w:p>
    <w:p w:rsidR="001D5591" w:rsidRDefault="00A742EC">
      <w:pPr>
        <w:pStyle w:val="ListNumber"/>
        <w:numPr>
          <w:ilvl w:val="0"/>
          <w:numId w:val="0"/>
        </w:numPr>
        <w:spacing w:after="0"/>
        <w:jc w:val="center"/>
        <w:rPr>
          <w:color w:val="auto"/>
        </w:rPr>
      </w:pPr>
      <w:r>
        <w:rPr>
          <w:color w:val="auto"/>
        </w:rPr>
        <w:t>[SIGNATURE PAGE(S) TO FOLLOW]</w:t>
      </w:r>
    </w:p>
    <w:p w:rsidR="001D5591" w:rsidRDefault="001D5591">
      <w:pPr>
        <w:pStyle w:val="ListNumber"/>
        <w:numPr>
          <w:ilvl w:val="0"/>
          <w:numId w:val="0"/>
        </w:numPr>
        <w:spacing w:before="120"/>
        <w:jc w:val="center"/>
        <w:rPr>
          <w:color w:val="auto"/>
        </w:rPr>
        <w:sectPr w:rsidR="001D5591">
          <w:headerReference w:type="default" r:id="rId25"/>
          <w:footerReference w:type="default" r:id="rId26"/>
          <w:headerReference w:type="first" r:id="rId27"/>
          <w:pgSz w:w="12240" w:h="15840"/>
          <w:pgMar w:top="1440" w:right="1440" w:bottom="1080" w:left="1440" w:header="720" w:footer="562" w:gutter="0"/>
          <w:cols w:space="720"/>
        </w:sectPr>
      </w:pPr>
    </w:p>
    <w:p w:rsidR="001D5591" w:rsidRDefault="00A742EC">
      <w:pPr>
        <w:spacing w:after="0"/>
        <w:rPr>
          <w:color w:val="auto"/>
        </w:rPr>
      </w:pPr>
      <w:r>
        <w:rPr>
          <w:color w:val="auto"/>
        </w:rPr>
        <w:lastRenderedPageBreak/>
        <w:t>IN WITNESS WHEREOF, the parties have caused this contract to be duly executed as of the last date set forth below by the undersigned authorized representatives of the parties, intending thereby to be legally bo</w:t>
      </w:r>
      <w:r>
        <w:rPr>
          <w:color w:val="auto"/>
        </w:rPr>
        <w:t>und.</w:t>
      </w:r>
    </w:p>
    <w:p w:rsidR="001D5591" w:rsidRDefault="001D5591">
      <w:pPr>
        <w:pStyle w:val="BlockText"/>
        <w:rPr>
          <w:color w:val="auto"/>
        </w:rPr>
      </w:pPr>
    </w:p>
    <w:p w:rsidR="001D5591" w:rsidRDefault="00A742EC">
      <w:pPr>
        <w:pStyle w:val="BlockText"/>
        <w:spacing w:before="0" w:after="0"/>
        <w:ind w:right="86"/>
        <w:rPr>
          <w:b/>
          <w:color w:val="auto"/>
        </w:rPr>
      </w:pPr>
      <w:r>
        <w:rPr>
          <w:color w:val="auto"/>
          <w:highlight w:val="cyan"/>
        </w:rPr>
        <w:t>_____________</w:t>
      </w:r>
      <w:r>
        <w:rPr>
          <w:color w:val="auto"/>
        </w:rPr>
        <w:tab/>
      </w:r>
      <w:r>
        <w:rPr>
          <w:b/>
          <w:color w:val="auto"/>
        </w:rPr>
        <w:t>VITA, on behalf of the</w:t>
      </w:r>
    </w:p>
    <w:p w:rsidR="001D5591" w:rsidRDefault="00A742EC">
      <w:pPr>
        <w:pStyle w:val="BlockText"/>
        <w:spacing w:before="0"/>
        <w:ind w:right="86"/>
        <w:rPr>
          <w:b/>
          <w:color w:val="auto"/>
        </w:rPr>
      </w:pPr>
      <w:r>
        <w:rPr>
          <w:b/>
          <w:color w:val="auto"/>
        </w:rPr>
        <w:tab/>
      </w:r>
      <w:r>
        <w:rPr>
          <w:b/>
          <w:color w:val="auto"/>
        </w:rPr>
        <w:tab/>
        <w:t>COMMONWEALTH OF VIRGINIA</w:t>
      </w:r>
    </w:p>
    <w:p w:rsidR="001D5591" w:rsidRDefault="001D5591">
      <w:pPr>
        <w:pStyle w:val="BlockText"/>
        <w:spacing w:before="0" w:after="240"/>
        <w:ind w:right="86"/>
        <w:rPr>
          <w:color w:val="auto"/>
        </w:rPr>
      </w:pPr>
    </w:p>
    <w:bookmarkEnd w:id="1"/>
    <w:bookmarkEnd w:id="2"/>
    <w:p w:rsidR="001D5591" w:rsidRDefault="00A742EC">
      <w:pPr>
        <w:pStyle w:val="BlockText"/>
        <w:spacing w:before="0" w:after="0"/>
        <w:ind w:right="86"/>
      </w:pPr>
      <w:r>
        <w:t xml:space="preserve"> By: ________________________________</w:t>
      </w:r>
      <w:r>
        <w:tab/>
        <w:t>By: __________________________________</w:t>
      </w:r>
    </w:p>
    <w:p w:rsidR="001D5591" w:rsidRDefault="00A742EC">
      <w:pPr>
        <w:pStyle w:val="BlockText"/>
        <w:spacing w:before="0" w:after="240"/>
        <w:ind w:right="86"/>
      </w:pPr>
      <w:r>
        <w:tab/>
        <w:t>(Signature)</w:t>
      </w:r>
      <w:r>
        <w:tab/>
      </w:r>
      <w:r>
        <w:tab/>
        <w:t>(Signature)</w:t>
      </w:r>
    </w:p>
    <w:p w:rsidR="001D5591" w:rsidRDefault="001D5591">
      <w:pPr>
        <w:pStyle w:val="BlockText"/>
        <w:spacing w:before="0" w:after="240"/>
        <w:ind w:right="86"/>
      </w:pPr>
    </w:p>
    <w:p w:rsidR="001D5591" w:rsidRDefault="00A742EC">
      <w:pPr>
        <w:pStyle w:val="BlockText"/>
        <w:spacing w:before="0" w:after="0"/>
        <w:ind w:right="86"/>
      </w:pPr>
      <w:r>
        <w:t>Name: _____________________________</w:t>
      </w:r>
      <w:r>
        <w:tab/>
        <w:t>Name: _______________________________</w:t>
      </w:r>
    </w:p>
    <w:p w:rsidR="001D5591" w:rsidRDefault="00A742EC">
      <w:pPr>
        <w:pStyle w:val="BlockText"/>
        <w:spacing w:before="0" w:after="240"/>
        <w:ind w:right="86"/>
      </w:pPr>
      <w:r>
        <w:tab/>
        <w:t xml:space="preserve">     (</w:t>
      </w:r>
      <w:r>
        <w:t>Print)</w:t>
      </w:r>
      <w:r>
        <w:tab/>
      </w:r>
      <w:r>
        <w:tab/>
      </w:r>
      <w:r>
        <w:tab/>
        <w:t>(Print)</w:t>
      </w:r>
    </w:p>
    <w:p w:rsidR="001D5591" w:rsidRDefault="001D5591">
      <w:pPr>
        <w:pStyle w:val="BlockText"/>
        <w:spacing w:before="0" w:after="240"/>
        <w:ind w:right="86"/>
        <w:rPr>
          <w:u w:val="single"/>
        </w:rPr>
      </w:pPr>
    </w:p>
    <w:p w:rsidR="001D5591" w:rsidRDefault="00A742EC">
      <w:pPr>
        <w:pStyle w:val="BlockText"/>
        <w:spacing w:before="0" w:after="240"/>
        <w:ind w:right="86"/>
        <w:rPr>
          <w:u w:val="single"/>
        </w:rPr>
      </w:pPr>
      <w:r>
        <w:t>Title: ______________________________</w:t>
      </w:r>
      <w:r>
        <w:tab/>
        <w:t>Title: _________________________________</w:t>
      </w:r>
    </w:p>
    <w:p w:rsidR="001D5591" w:rsidRDefault="001D5591">
      <w:pPr>
        <w:pStyle w:val="BlockText"/>
        <w:spacing w:before="0" w:after="240"/>
      </w:pPr>
    </w:p>
    <w:p w:rsidR="001D5591" w:rsidRDefault="00A742EC">
      <w:pPr>
        <w:pStyle w:val="BlockText"/>
        <w:spacing w:before="0" w:after="240"/>
      </w:pPr>
      <w:r>
        <w:t>Date: ______________________________</w:t>
      </w:r>
      <w:r>
        <w:tab/>
        <w:t>Date: _________________________________</w:t>
      </w:r>
    </w:p>
    <w:p w:rsidR="001D5591" w:rsidRDefault="001D5591">
      <w:pPr>
        <w:pStyle w:val="BlockText"/>
        <w:tabs>
          <w:tab w:val="clear" w:pos="360"/>
          <w:tab w:val="clear" w:pos="5040"/>
          <w:tab w:val="clear" w:pos="5400"/>
          <w:tab w:val="left" w:pos="9000"/>
        </w:tabs>
        <w:spacing w:before="0"/>
        <w:ind w:right="86"/>
        <w:rPr>
          <w:u w:val="single"/>
        </w:rPr>
      </w:pPr>
    </w:p>
    <w:sectPr w:rsidR="001D5591">
      <w:headerReference w:type="default" r:id="rId28"/>
      <w:footerReference w:type="default" r:id="rId29"/>
      <w:headerReference w:type="first" r:id="rId30"/>
      <w:pgSz w:w="12240" w:h="15840"/>
      <w:pgMar w:top="1440" w:right="1440" w:bottom="1080" w:left="1440" w:header="720" w:footer="5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2EC" w:rsidRDefault="00A742EC">
      <w:pPr>
        <w:spacing w:after="0"/>
      </w:pPr>
      <w:r>
        <w:separator/>
      </w:r>
    </w:p>
  </w:endnote>
  <w:endnote w:type="continuationSeparator" w:id="0">
    <w:p w:rsidR="00A742EC" w:rsidRDefault="00A742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91" w:rsidRDefault="00A742EC">
    <w:pPr>
      <w:pStyle w:val="Footer"/>
      <w:pBdr>
        <w:top w:val="single" w:sz="4" w:space="1" w:color="auto"/>
      </w:pBdr>
      <w:spacing w:after="0"/>
    </w:pPr>
    <w:r>
      <w:rPr>
        <w:noProof/>
      </w:rPr>
      <w:fldChar w:fldCharType="begin"/>
    </w:r>
    <w:r>
      <w:rPr>
        <w:noProof/>
      </w:rPr>
      <w:instrText xml:space="preserve"> FILENAME  \* FirstCap  \* MERGEFORMAT </w:instrText>
    </w:r>
    <w:r>
      <w:rPr>
        <w:noProof/>
      </w:rPr>
      <w:fldChar w:fldCharType="separate"/>
    </w:r>
    <w:r>
      <w:rPr>
        <w:noProof/>
      </w:rPr>
      <w:t>License Agreement Addendum Q02FY2021</w:t>
    </w:r>
    <w:r>
      <w:rPr>
        <w:noProof/>
      </w:rPr>
      <w:fldChar w:fldCharType="end"/>
    </w:r>
    <w:r>
      <w:tab/>
    </w:r>
    <w:r>
      <w:tab/>
    </w:r>
    <w:r>
      <w:t xml:space="preserve">Page </w:t>
    </w:r>
    <w:r>
      <w:rPr>
        <w:rStyle w:val="PageNumber"/>
      </w:rPr>
      <w:fldChar w:fldCharType="begin"/>
    </w:r>
    <w:r>
      <w:rPr>
        <w:rStyle w:val="PageNumber"/>
      </w:rPr>
      <w:instrText xml:space="preserve"> PAGE  </w:instrText>
    </w:r>
    <w:r>
      <w:rPr>
        <w:rStyle w:val="PageNumber"/>
      </w:rPr>
      <w:fldChar w:fldCharType="separate"/>
    </w:r>
    <w:r w:rsidR="0050567A">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SECTIONPAGES  </w:instrText>
    </w:r>
    <w:r>
      <w:rPr>
        <w:rStyle w:val="PageNumber"/>
      </w:rPr>
      <w:fldChar w:fldCharType="separate"/>
    </w:r>
    <w:r w:rsidR="0050567A">
      <w:rPr>
        <w:rStyle w:val="PageNumber"/>
        <w:noProof/>
      </w:rPr>
      <w:t>4</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91" w:rsidRDefault="00A742EC">
    <w:pPr>
      <w:pStyle w:val="Footer"/>
      <w:pBdr>
        <w:top w:val="single" w:sz="4" w:space="1" w:color="auto"/>
      </w:pBdr>
      <w:spacing w:after="0"/>
    </w:pPr>
    <w:r>
      <w:rPr>
        <w:noProof/>
      </w:rPr>
      <w:fldChar w:fldCharType="begin"/>
    </w:r>
    <w:r>
      <w:rPr>
        <w:noProof/>
      </w:rPr>
      <w:instrText xml:space="preserve"> FILENAME  \* FirstCap  \* MERGEFORMAT </w:instrText>
    </w:r>
    <w:r>
      <w:rPr>
        <w:noProof/>
      </w:rPr>
      <w:fldChar w:fldCharType="separate"/>
    </w:r>
    <w:r>
      <w:rPr>
        <w:noProof/>
      </w:rPr>
      <w:t>License Agreement Addendum Q02FY2021</w:t>
    </w:r>
    <w:r>
      <w:rPr>
        <w:noProof/>
      </w:rPr>
      <w:fldChar w:fldCharType="end"/>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2EC" w:rsidRDefault="00A742EC">
      <w:pPr>
        <w:spacing w:after="0"/>
      </w:pPr>
      <w:r>
        <w:separator/>
      </w:r>
    </w:p>
  </w:footnote>
  <w:footnote w:type="continuationSeparator" w:id="0">
    <w:p w:rsidR="00A742EC" w:rsidRDefault="00A742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91" w:rsidRDefault="00A742EC">
    <w:pPr>
      <w:pStyle w:val="Header"/>
      <w:rPr>
        <w:b/>
        <w:color w:val="FF0000"/>
        <w:sz w:val="20"/>
        <w:u w:val="single"/>
      </w:rPr>
    </w:pPr>
    <w:r>
      <w:t xml:space="preserve">Contract Number: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91" w:rsidRDefault="00A742EC">
    <w:pPr>
      <w:pStyle w:val="Header"/>
    </w:pPr>
    <w:r>
      <w:t>DRAFT FORM AGREEMENT</w:t>
    </w:r>
    <w:r>
      <w:tab/>
    </w:r>
    <w:r>
      <w:tab/>
      <w:t>Contract No. _____________</w:t>
    </w:r>
  </w:p>
  <w:p w:rsidR="001D5591" w:rsidRDefault="00A742EC">
    <w:pPr>
      <w:pStyle w:val="Header"/>
    </w:pPr>
    <w:r>
      <w:rPr>
        <w:highlight w:val="cyan"/>
      </w:rPr>
      <w:t>Notice: All highlighted should be reviewed before using this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91" w:rsidRDefault="00A742EC">
    <w:pPr>
      <w:pStyle w:val="Header"/>
      <w:rPr>
        <w:b/>
        <w:color w:val="FF0000"/>
        <w:sz w:val="20"/>
        <w:u w:val="single"/>
      </w:rPr>
    </w:pPr>
    <w:r>
      <w:t xml:space="preserve">Contract Number: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91" w:rsidRDefault="00A742EC">
    <w:pPr>
      <w:pStyle w:val="Header"/>
    </w:pPr>
    <w:r>
      <w:t>DRAFT FORM AGREEMENT</w:t>
    </w:r>
    <w:r>
      <w:tab/>
    </w:r>
    <w:r>
      <w:tab/>
      <w:t>Contract No. _____________</w:t>
    </w:r>
  </w:p>
  <w:p w:rsidR="001D5591" w:rsidRDefault="00A742EC">
    <w:pPr>
      <w:pStyle w:val="Header"/>
    </w:pPr>
    <w:r>
      <w:rPr>
        <w:highlight w:val="cyan"/>
      </w:rPr>
      <w:t>Notice: All highlighted should be reviewed before using this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866C89"/>
    <w:multiLevelType w:val="multilevel"/>
    <w:tmpl w:val="29202B5E"/>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1" w15:restartNumberingAfterBreak="0">
    <w:nsid w:val="66866C8A"/>
    <w:multiLevelType w:val="multilevel"/>
    <w:tmpl w:val="00562648"/>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2" w15:restartNumberingAfterBreak="0">
    <w:nsid w:val="66866C8B"/>
    <w:multiLevelType w:val="multilevel"/>
    <w:tmpl w:val="FD149FBA"/>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66866C8C"/>
    <w:multiLevelType w:val="multilevel"/>
    <w:tmpl w:val="41B2AFD2"/>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6866C8D"/>
    <w:multiLevelType w:val="multilevel"/>
    <w:tmpl w:val="8C52A528"/>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5" w15:restartNumberingAfterBreak="0">
    <w:nsid w:val="66866C8E"/>
    <w:multiLevelType w:val="multilevel"/>
    <w:tmpl w:val="5AD865C6"/>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6866C8F"/>
    <w:multiLevelType w:val="multilevel"/>
    <w:tmpl w:val="C56AF4B8"/>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6866C90"/>
    <w:multiLevelType w:val="multilevel"/>
    <w:tmpl w:val="CB400ABC"/>
    <w:lvl w:ilvl="0">
      <w:start w:val="1"/>
      <w:numFmt w:val="decimal"/>
      <w:pStyle w:val="ListNumber"/>
      <w:lvlText w:val="%1."/>
      <w:lvlJc w:val="left"/>
      <w:pPr>
        <w:tabs>
          <w:tab w:val="num" w:pos="360"/>
        </w:tabs>
        <w:ind w:left="36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CD8663B"/>
    <w:multiLevelType w:val="multilevel"/>
    <w:tmpl w:val="19EE0514"/>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linkStyle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36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591"/>
    <w:rsid w:val="001D5591"/>
    <w:rsid w:val="0050567A"/>
    <w:rsid w:val="00A742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5D203FD-2A32-4EE4-847B-DEB375EE6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qFormat/>
    <w:pPr>
      <w:keepNext/>
      <w:numPr>
        <w:ilvl w:val="0"/>
        <w:numId w:val="1"/>
      </w:numPr>
      <w:spacing w:before="240" w:after="0"/>
      <w:outlineLvl w:val="0"/>
    </w:pPr>
    <w:rPr>
      <w:b/>
      <w:caps/>
    </w:rPr>
  </w:style>
  <w:style w:type="paragraph" w:styleId="Heading2">
    <w:name w:val="heading 2"/>
    <w:basedOn w:val="Normal"/>
    <w:next w:val="BodyTextIndent"/>
    <w:qFormat/>
    <w:pPr>
      <w:keepNext/>
      <w:numPr>
        <w:ilvl w:val="1"/>
        <w:numId w:val="2"/>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2"/>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character" w:customStyle="1" w:styleId="NoList1">
    <w:name w:val="No List1"/>
    <w:semiHidden/>
    <w:unhideWhenUsed/>
  </w:style>
  <w:style w:type="paragraph" w:styleId="Header">
    <w:name w:val="header"/>
    <w:basedOn w:val="Normal"/>
    <w:next w:val="Normal"/>
    <w:pPr>
      <w:tabs>
        <w:tab w:val="center" w:pos="4680"/>
        <w:tab w:val="right" w:pos="9360"/>
      </w:tabs>
    </w:pPr>
    <w:rPr>
      <w:sz w:val="16"/>
    </w:rPr>
  </w:style>
  <w:style w:type="paragraph" w:styleId="Footer">
    <w:name w:val="footer"/>
    <w:basedOn w:val="Normal"/>
    <w:next w:val="Normal"/>
    <w:pPr>
      <w:tabs>
        <w:tab w:val="center" w:pos="4680"/>
        <w:tab w:val="right" w:pos="9360"/>
      </w:tabs>
    </w:pPr>
    <w:rPr>
      <w:sz w:val="16"/>
    </w:r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BodyTextIndent">
    <w:name w:val="Body Text Indent"/>
    <w:basedOn w:val="Normal"/>
    <w:pPr>
      <w:tabs>
        <w:tab w:val="clear" w:pos="360"/>
        <w:tab w:val="left" w:pos="720"/>
      </w:tabs>
      <w:spacing w:after="120"/>
      <w:ind w:left="720"/>
    </w:pPr>
  </w:style>
  <w:style w:type="paragraph" w:styleId="List">
    <w:name w:val="List"/>
    <w:basedOn w:val="Normal"/>
    <w:pPr>
      <w:numPr>
        <w:ilvl w:val="0"/>
        <w:numId w:val="4"/>
      </w:numPr>
      <w:tabs>
        <w:tab w:val="clear" w:pos="360"/>
        <w:tab w:val="left" w:pos="1080"/>
      </w:tabs>
      <w:spacing w:before="60"/>
    </w:pPr>
  </w:style>
  <w:style w:type="paragraph" w:styleId="BodyTextIndent2">
    <w:name w:val="Body Text Indent 2"/>
    <w:basedOn w:val="Normal"/>
    <w:pPr>
      <w:tabs>
        <w:tab w:val="clear" w:pos="360"/>
        <w:tab w:val="left" w:pos="1080"/>
      </w:tabs>
      <w:spacing w:before="60"/>
      <w:ind w:left="1080"/>
    </w:pPr>
  </w:style>
  <w:style w:type="paragraph" w:styleId="BlockText">
    <w:name w:val="Block Text"/>
    <w:basedOn w:val="Normal"/>
    <w:next w:val="Normal"/>
    <w:link w:val="BlockTextChar"/>
    <w:pPr>
      <w:tabs>
        <w:tab w:val="left" w:pos="5040"/>
        <w:tab w:val="left" w:pos="5400"/>
      </w:tabs>
      <w:spacing w:before="120" w:after="120"/>
      <w:ind w:right="90"/>
    </w:pPr>
  </w:style>
  <w:style w:type="paragraph" w:styleId="BodyText">
    <w:name w:val="Body Text"/>
    <w:basedOn w:val="Normal"/>
    <w:next w:val="Normal"/>
    <w:pPr>
      <w:spacing w:after="120"/>
      <w:ind w:left="360"/>
    </w:pPr>
  </w:style>
  <w:style w:type="paragraph" w:styleId="Title">
    <w:name w:val="Title"/>
    <w:basedOn w:val="Normal"/>
    <w:next w:val="Normal"/>
    <w:qFormat/>
    <w:pPr>
      <w:tabs>
        <w:tab w:val="clear" w:pos="360"/>
        <w:tab w:val="left" w:pos="5760"/>
        <w:tab w:val="left" w:pos="8640"/>
      </w:tabs>
      <w:spacing w:before="60" w:after="0"/>
      <w:ind w:left="108"/>
      <w:jc w:val="center"/>
    </w:pPr>
    <w:rPr>
      <w:b/>
      <w:caps/>
      <w:sz w:val="24"/>
    </w:rPr>
  </w:style>
  <w:style w:type="paragraph" w:styleId="List2">
    <w:name w:val="List 2"/>
    <w:basedOn w:val="Normal"/>
    <w:pPr>
      <w:numPr>
        <w:ilvl w:val="0"/>
        <w:numId w:val="5"/>
      </w:numPr>
      <w:tabs>
        <w:tab w:val="clear" w:pos="360"/>
        <w:tab w:val="left" w:pos="1440"/>
      </w:tabs>
      <w:spacing w:before="60"/>
    </w:pPr>
  </w:style>
  <w:style w:type="paragraph" w:styleId="List3">
    <w:name w:val="List 3"/>
    <w:basedOn w:val="Normal"/>
    <w:pPr>
      <w:numPr>
        <w:ilvl w:val="0"/>
        <w:numId w:val="6"/>
      </w:numPr>
      <w:spacing w:before="60"/>
    </w:pPr>
  </w:style>
  <w:style w:type="paragraph" w:styleId="List4">
    <w:name w:val="List 4"/>
    <w:basedOn w:val="Normal"/>
    <w:pPr>
      <w:spacing w:after="0"/>
      <w:ind w:left="1440" w:hanging="360"/>
      <w:jc w:val="both"/>
    </w:pPr>
  </w:style>
  <w:style w:type="paragraph" w:styleId="ListContinue2">
    <w:name w:val="List Continue 2"/>
    <w:basedOn w:val="Normal"/>
    <w:pPr>
      <w:spacing w:after="120"/>
      <w:ind w:left="360"/>
      <w:jc w:val="both"/>
    </w:pPr>
  </w:style>
  <w:style w:type="paragraph" w:styleId="BodyText2">
    <w:name w:val="Body Text 2"/>
    <w:basedOn w:val="Normal"/>
    <w:pPr>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3">
    <w:name w:val="Body Text 3"/>
    <w:basedOn w:val="BodyText2"/>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7"/>
      </w:numPr>
      <w:tabs>
        <w:tab w:val="clear" w:pos="360"/>
      </w:tabs>
    </w:pPr>
  </w:style>
  <w:style w:type="character" w:customStyle="1" w:styleId="BlockTextChar">
    <w:name w:val="Block Text Char"/>
    <w:basedOn w:val="DefaultParagraphFont"/>
    <w:link w:val="BlockText"/>
    <w:rPr>
      <w:rFonts w:ascii="Arial" w:eastAsia="Arial" w:hAnsi="Arial" w:cs="Arial"/>
      <w:color w:val="000000"/>
    </w:rPr>
  </w:style>
  <w:style w:type="paragraph" w:styleId="BalloonText">
    <w:name w:val="Balloon Text"/>
    <w:basedOn w:val="Normal"/>
    <w:semiHidden/>
    <w:rPr>
      <w:rFonts w:ascii="Tahoma" w:eastAsia="Tahoma" w:hAnsi="Tahoma" w:cs="Tahoma"/>
      <w:sz w:val="16"/>
      <w:szCs w:val="16"/>
    </w:rPr>
  </w:style>
  <w:style w:type="paragraph" w:styleId="ListNumber">
    <w:name w:val="List Number"/>
    <w:basedOn w:val="Normal"/>
    <w:pPr>
      <w:numPr>
        <w:ilvl w:val="0"/>
        <w:numId w:val="8"/>
      </w:numPr>
    </w:pPr>
  </w:style>
  <w:style w:type="character" w:customStyle="1" w:styleId="CommentReference1">
    <w:name w:val="Comment Reference1"/>
    <w:basedOn w:val="DefaultParagraphFont"/>
    <w:rPr>
      <w:sz w:val="16"/>
      <w:szCs w:val="16"/>
    </w:rPr>
  </w:style>
  <w:style w:type="paragraph" w:customStyle="1" w:styleId="CommentText1">
    <w:name w:val="Comment Text1"/>
    <w:basedOn w:val="Normal"/>
    <w:link w:val="CommentTextChar"/>
  </w:style>
  <w:style w:type="character" w:customStyle="1" w:styleId="CommentTextChar">
    <w:name w:val="Comment Text Char"/>
    <w:basedOn w:val="DefaultParagraphFont"/>
    <w:link w:val="CommentText1"/>
    <w:rPr>
      <w:rFonts w:ascii="Arial" w:eastAsia="Arial" w:hAnsi="Arial" w:cs="Arial"/>
      <w:color w:val="000000"/>
    </w:rPr>
  </w:style>
  <w:style w:type="paragraph" w:customStyle="1" w:styleId="CommentSubject1">
    <w:name w:val="Comment Subject1"/>
    <w:basedOn w:val="CommentText1"/>
    <w:link w:val="CommentSubjectChar"/>
    <w:rPr>
      <w:b/>
      <w:bCs/>
    </w:rPr>
  </w:style>
  <w:style w:type="character" w:customStyle="1" w:styleId="CommentSubjectChar">
    <w:name w:val="Comment Subject Char"/>
    <w:basedOn w:val="DefaultParagraphFont"/>
    <w:link w:val="CommentSubject1"/>
    <w:rPr>
      <w:rFonts w:ascii="Arial" w:eastAsia="Arial" w:hAnsi="Arial" w:cs="Arial"/>
      <w:b/>
      <w:bCs/>
      <w:color w:val="000000"/>
    </w:rPr>
  </w:style>
  <w:style w:type="paragraph" w:styleId="NormalWeb">
    <w:name w:val="Normal (Web)"/>
    <w:basedOn w:val="Normal"/>
    <w:unhideWhenUsed/>
    <w:pPr>
      <w:tabs>
        <w:tab w:val="clear" w:pos="360"/>
      </w:tabs>
      <w:spacing w:before="100" w:beforeAutospacing="1" w:after="100" w:afterAutospacing="1"/>
    </w:pPr>
    <w:rPr>
      <w:rFonts w:ascii="Times New Roman" w:eastAsia="Times New Roman" w:hAnsi="Times New Roman" w:cs="Times New Roman"/>
      <w:color w:val="auto"/>
      <w:sz w:val="24"/>
      <w:szCs w:val="24"/>
    </w:rPr>
  </w:style>
  <w:style w:type="paragraph" w:styleId="PlainText">
    <w:name w:val="Plain Text"/>
    <w:basedOn w:val="Normal"/>
    <w:link w:val="PlainTextChar"/>
    <w:unhideWhenUsed/>
    <w:pPr>
      <w:tabs>
        <w:tab w:val="clear" w:pos="360"/>
      </w:tabs>
      <w:spacing w:after="0"/>
    </w:pPr>
    <w:rPr>
      <w:rFonts w:ascii="Calibri" w:eastAsia="Calibri" w:hAnsi="Calibri" w:cs="Consolas"/>
      <w:color w:val="auto"/>
      <w:sz w:val="22"/>
      <w:szCs w:val="21"/>
    </w:rPr>
  </w:style>
  <w:style w:type="character" w:customStyle="1" w:styleId="PlainTextChar">
    <w:name w:val="Plain Text Char"/>
    <w:basedOn w:val="DefaultParagraphFont"/>
    <w:link w:val="PlainText"/>
    <w:rPr>
      <w:rFonts w:ascii="Calibri" w:eastAsia="Calibri" w:hAnsi="Calibri" w:cs="Consolas"/>
      <w:sz w:val="22"/>
      <w:szCs w:val="21"/>
    </w:rPr>
  </w:style>
  <w:style w:type="character" w:styleId="FollowedHyperlink">
    <w:name w:val="FollowedHyperlink"/>
    <w:basedOn w:val="DefaultParagraphFont"/>
    <w:rPr>
      <w:color w:val="800080"/>
      <w:u w:val="single"/>
    </w:rPr>
  </w:style>
  <w:style w:type="paragraph" w:styleId="ListParagraph">
    <w:name w:val="List Paragraph"/>
    <w:basedOn w:val="Normal"/>
    <w:qFormat/>
    <w:pPr>
      <w:ind w:left="720"/>
      <w:contextualSpacing/>
    </w:pPr>
  </w:style>
  <w:style w:type="paragraph" w:customStyle="1" w:styleId="Revision1">
    <w:name w:val="Revision1"/>
    <w:semiHidden/>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aw.lis.virginia.gov/vacode/title2.2/chapter20.1/section2.2-2012/" TargetMode="External"/><Relationship Id="rId13" Type="http://schemas.openxmlformats.org/officeDocument/2006/relationships/hyperlink" Target="https://law.lis.virginia.gov/vacode/title2.2/chapter20.1/section2.2-2006/" TargetMode="External"/><Relationship Id="rId18" Type="http://schemas.openxmlformats.org/officeDocument/2006/relationships/hyperlink" Target="https://law.lis.virginia.gov/vacode/title2.2/chapter43/section2.2-4363/"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vita.virginia.gov/media/vitavirginiagov/supply-chain/pdf/StatutorilyMandatedTsandCs.pdf" TargetMode="External"/><Relationship Id="rId7" Type="http://schemas.openxmlformats.org/officeDocument/2006/relationships/endnotes" Target="endnotes.xml"/><Relationship Id="rId12" Type="http://schemas.openxmlformats.org/officeDocument/2006/relationships/hyperlink" Target="http://www.cicv.org/Our-Colleges/Profiles.aspx" TargetMode="External"/><Relationship Id="rId17" Type="http://schemas.openxmlformats.org/officeDocument/2006/relationships/hyperlink" Target="https://law.lis.virginia.gov/vacode/title8.01/"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aw.lis.virginia.gov/vacode/title2.2/chapter43/section2.2-4347/" TargetMode="External"/><Relationship Id="rId20" Type="http://schemas.openxmlformats.org/officeDocument/2006/relationships/hyperlink" Target="https://law.lis.virginia.gov/vacode/title59.1/chapter43/section59.1-501.15/"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w.lis.virginia.gov/vacode/title2.2/chapter20.1/section2.2-2012/" TargetMode="External"/><Relationship Id="rId24" Type="http://schemas.openxmlformats.org/officeDocument/2006/relationships/hyperlink" Target="http://www.doa.virginia.gov/"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icv.org/Our-Colleges/Profiles.aspx" TargetMode="External"/><Relationship Id="rId23" Type="http://schemas.openxmlformats.org/officeDocument/2006/relationships/hyperlink" Target="https://law.lis.virginia.gov/vacode/title2.2/chapter5/section2.2-514/" TargetMode="External"/><Relationship Id="rId28" Type="http://schemas.openxmlformats.org/officeDocument/2006/relationships/header" Target="header3.xml"/><Relationship Id="rId10" Type="http://schemas.openxmlformats.org/officeDocument/2006/relationships/hyperlink" Target="https://law.lis.virginia.gov/vacode/title2.2/chapter43/section2.2-4304/" TargetMode="External"/><Relationship Id="rId19" Type="http://schemas.openxmlformats.org/officeDocument/2006/relationships/hyperlink" Target="https://law.lis.virginia.gov/vacode/title2.2/chapter43/section2.2-436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aw.lis.virginia.gov/vacode/title2.2/chapter43/section2.2-4301/" TargetMode="External"/><Relationship Id="rId14" Type="http://schemas.openxmlformats.org/officeDocument/2006/relationships/hyperlink" Target="https://law.lis.virginia.gov/vacode/title2.2/" TargetMode="External"/><Relationship Id="rId22" Type="http://schemas.openxmlformats.org/officeDocument/2006/relationships/hyperlink" Target="https://law.lis.virginia.gov/vacode/title2.2/chapter5/section2.2-510/" TargetMode="External"/><Relationship Id="rId27" Type="http://schemas.openxmlformats.org/officeDocument/2006/relationships/header" Target="header2.xml"/><Relationship Id="rId30"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AF3F3-6AEF-46A1-8119-F15AD49E2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contractA.dot</Template>
  <TotalTime>0</TotalTime>
  <Pages>5</Pages>
  <Words>2596</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Eula Addendum</vt:lpstr>
    </vt:vector>
  </TitlesOfParts>
  <Company>J.A. Coover &amp; Associates Inc.</Company>
  <LinksUpToDate>false</LinksUpToDate>
  <CharactersWithSpaces>17360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Eula Addendum</dc:title>
  <dc:subject/>
  <dc:creator>Eric Link</dc:creator>
  <cp:keywords/>
  <cp:lastModifiedBy>MacKenzie, James (VITA)</cp:lastModifiedBy>
  <cp:revision>2</cp:revision>
  <cp:lastPrinted>2005-10-26T14:38:00Z</cp:lastPrinted>
  <dcterms:created xsi:type="dcterms:W3CDTF">2022-04-20T22:28:00Z</dcterms:created>
  <dcterms:modified xsi:type="dcterms:W3CDTF">2022-04-20T22:28:00Z</dcterms:modified>
</cp:coreProperties>
</file>